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DB50FC" w:rsidRPr="006E51C0">
              <w:rPr>
                <w:rFonts w:eastAsia="Calibri"/>
                <w:sz w:val="24"/>
                <w:szCs w:val="24"/>
                <w:lang w:val="en-US" w:eastAsia="ar-SA"/>
              </w:rPr>
              <w:t>5</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E003D1">
        <w:rPr>
          <w:rFonts w:eastAsia="Calibri"/>
          <w:b/>
          <w:bCs/>
          <w:kern w:val="32"/>
          <w:lang w:eastAsia="ru-RU"/>
        </w:rPr>
        <w:t>МУРМАНСКАЯ</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E003D1">
        <w:rPr>
          <w:rFonts w:eastAsia="Calibri"/>
          <w:b/>
          <w:bCs/>
          <w:kern w:val="32"/>
          <w:lang w:eastAsia="ru-RU"/>
        </w:rPr>
        <w:t>56</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DB50FC" w:rsidRPr="006E51C0">
        <w:rPr>
          <w:rFonts w:eastAsia="Calibri"/>
          <w:b/>
          <w:bCs/>
          <w:kern w:val="32"/>
          <w:lang w:eastAsia="ru-RU"/>
        </w:rPr>
        <w:t>5</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E003D1">
        <w:t>Мурманская</w:t>
      </w:r>
      <w:r w:rsidR="001A1A9C" w:rsidRPr="006E51C0">
        <w:t>, д.</w:t>
      </w:r>
      <w:r w:rsidR="00E003D1">
        <w:t>56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E003D1" w:rsidRPr="00E003D1">
        <w:rPr>
          <w:rFonts w:eastAsia="Calibri"/>
          <w:lang w:eastAsia="ar-SA"/>
        </w:rPr>
        <w:t>1 549</w:t>
      </w:r>
      <w:r w:rsidR="00E003D1">
        <w:rPr>
          <w:rFonts w:eastAsia="Calibri"/>
          <w:lang w:eastAsia="ar-SA"/>
        </w:rPr>
        <w:t> </w:t>
      </w:r>
      <w:r w:rsidR="00E003D1" w:rsidRPr="00E003D1">
        <w:rPr>
          <w:rFonts w:eastAsia="Calibri"/>
          <w:lang w:eastAsia="ar-SA"/>
        </w:rPr>
        <w:t>657</w:t>
      </w:r>
      <w:r w:rsidR="00E003D1">
        <w:rPr>
          <w:rFonts w:eastAsia="Calibri"/>
          <w:lang w:eastAsia="ar-SA"/>
        </w:rPr>
        <w:t>,93</w:t>
      </w:r>
      <w:r w:rsidR="00E003D1" w:rsidRPr="00E003D1">
        <w:rPr>
          <w:rFonts w:eastAsia="Calibri"/>
          <w:lang w:eastAsia="ar-SA"/>
        </w:rPr>
        <w:t xml:space="preserve"> (один миллион пятьсот сорок девять тысяч шестьсот пятьдесят семь) рублей 93 копейки</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83548">
        <w:rPr>
          <w:rFonts w:eastAsia="Calibri"/>
          <w:lang w:eastAsia="ar-SA"/>
        </w:rPr>
        <w:t>1</w:t>
      </w:r>
      <w:r w:rsidR="00E003D1">
        <w:rPr>
          <w:rFonts w:eastAsia="Calibri"/>
          <w:lang w:eastAsia="ar-SA"/>
        </w:rPr>
        <w:t> 219 113,64</w:t>
      </w:r>
      <w:r w:rsidRPr="006E51C0">
        <w:rPr>
          <w:rFonts w:eastAsia="Calibri"/>
          <w:lang w:eastAsia="ar-SA"/>
        </w:rPr>
        <w:t xml:space="preserve"> (</w:t>
      </w:r>
      <w:r w:rsidR="000339A0" w:rsidRPr="006E51C0">
        <w:rPr>
          <w:rFonts w:eastAsia="Calibri"/>
          <w:lang w:eastAsia="ar-SA"/>
        </w:rPr>
        <w:t xml:space="preserve">один миллион </w:t>
      </w:r>
      <w:r w:rsidR="00E003D1">
        <w:rPr>
          <w:rFonts w:eastAsia="Calibri"/>
          <w:lang w:eastAsia="ar-SA"/>
        </w:rPr>
        <w:t>двести девятнадцать тысяч сто тринадцать)</w:t>
      </w:r>
      <w:r w:rsidRPr="006E51C0">
        <w:rPr>
          <w:rFonts w:eastAsia="Calibri"/>
          <w:lang w:eastAsia="ar-SA"/>
        </w:rPr>
        <w:t xml:space="preserve"> рублей </w:t>
      </w:r>
      <w:r w:rsidR="00E003D1">
        <w:rPr>
          <w:rFonts w:eastAsia="Calibri"/>
          <w:lang w:eastAsia="ar-SA"/>
        </w:rPr>
        <w:t>64</w:t>
      </w:r>
      <w:r w:rsidRPr="006E51C0">
        <w:rPr>
          <w:rFonts w:eastAsia="Calibri"/>
          <w:lang w:eastAsia="ar-SA"/>
        </w:rPr>
        <w:t xml:space="preserve"> копе</w:t>
      </w:r>
      <w:r w:rsidR="00E003D1">
        <w:rPr>
          <w:rFonts w:eastAsia="Calibri"/>
          <w:lang w:eastAsia="ar-SA"/>
        </w:rPr>
        <w:t>йки</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E003D1">
        <w:rPr>
          <w:rFonts w:eastAsia="Calibri"/>
          <w:lang w:eastAsia="ar-SA"/>
        </w:rPr>
        <w:t>330 544,29</w:t>
      </w:r>
      <w:r w:rsidRPr="006E51C0">
        <w:rPr>
          <w:rFonts w:eastAsia="Calibri"/>
          <w:lang w:eastAsia="ar-SA"/>
        </w:rPr>
        <w:t xml:space="preserve"> (</w:t>
      </w:r>
      <w:r w:rsidR="00E003D1">
        <w:rPr>
          <w:rFonts w:eastAsia="Calibri"/>
          <w:lang w:eastAsia="ar-SA"/>
        </w:rPr>
        <w:t>триста тридцать</w:t>
      </w:r>
      <w:r w:rsidR="00CB5DF1">
        <w:rPr>
          <w:rFonts w:eastAsia="Calibri"/>
          <w:lang w:eastAsia="ar-SA"/>
        </w:rPr>
        <w:t xml:space="preserve"> тысяч </w:t>
      </w:r>
      <w:r w:rsidR="00E003D1">
        <w:rPr>
          <w:rFonts w:eastAsia="Calibri"/>
          <w:lang w:eastAsia="ar-SA"/>
        </w:rPr>
        <w:t>пятьсот</w:t>
      </w:r>
      <w:r w:rsidR="00CB5DF1">
        <w:rPr>
          <w:rFonts w:eastAsia="Calibri"/>
          <w:lang w:eastAsia="ar-SA"/>
        </w:rPr>
        <w:t xml:space="preserve"> сорок </w:t>
      </w:r>
      <w:r w:rsidR="00E003D1">
        <w:rPr>
          <w:rFonts w:eastAsia="Calibri"/>
          <w:lang w:eastAsia="ar-SA"/>
        </w:rPr>
        <w:t>четыре</w:t>
      </w:r>
      <w:r w:rsidR="00E83548">
        <w:rPr>
          <w:rFonts w:eastAsia="Calibri"/>
          <w:lang w:eastAsia="ar-SA"/>
        </w:rPr>
        <w:t>) рубля</w:t>
      </w:r>
      <w:r w:rsidRPr="006E51C0">
        <w:rPr>
          <w:rFonts w:eastAsia="Calibri"/>
          <w:lang w:eastAsia="ar-SA"/>
        </w:rPr>
        <w:t xml:space="preserve"> </w:t>
      </w:r>
      <w:r w:rsidR="00E003D1">
        <w:rPr>
          <w:rFonts w:eastAsia="Calibri"/>
          <w:lang w:eastAsia="ar-SA"/>
        </w:rPr>
        <w:t>29</w:t>
      </w:r>
      <w:r w:rsidRPr="006E51C0">
        <w:rPr>
          <w:rFonts w:eastAsia="Calibri"/>
          <w:lang w:eastAsia="ar-SA"/>
        </w:rPr>
        <w:t xml:space="preserve"> копе</w:t>
      </w:r>
      <w:r w:rsidR="00E003D1">
        <w:rPr>
          <w:rFonts w:eastAsia="Calibri"/>
          <w:lang w:eastAsia="ar-SA"/>
        </w:rPr>
        <w:t>ек</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 факс 8(815-2) 412-662</w:t>
      </w:r>
    </w:p>
    <w:p w:rsidR="00EE6F6B" w:rsidRPr="006E51C0"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proofErr w:type="spellStart"/>
      <w:r w:rsidR="00763EF0" w:rsidRPr="006E51C0">
        <w:rPr>
          <w:rFonts w:eastAsia="Calibri"/>
          <w:lang w:val="en-US" w:eastAsia="ar-SA"/>
        </w:rPr>
        <w:t>ea</w:t>
      </w:r>
      <w:proofErr w:type="spellEnd"/>
      <w:r w:rsidR="00253606" w:rsidRPr="006E51C0">
        <w:rPr>
          <w:rFonts w:eastAsia="Calibri"/>
          <w:lang w:eastAsia="ar-SA"/>
        </w:rPr>
        <w:t>@</w:t>
      </w:r>
      <w:proofErr w:type="spellStart"/>
      <w:r w:rsidR="00253606" w:rsidRPr="006E51C0">
        <w:rPr>
          <w:rFonts w:eastAsia="Calibri"/>
          <w:lang w:val="en-US" w:eastAsia="ar-SA"/>
        </w:rPr>
        <w:t>fkrmo</w:t>
      </w:r>
      <w:proofErr w:type="spellEnd"/>
      <w:r w:rsidR="00253606" w:rsidRPr="006E51C0">
        <w:rPr>
          <w:rFonts w:eastAsia="Calibri"/>
          <w:lang w:eastAsia="ar-SA"/>
        </w:rPr>
        <w:t>.</w:t>
      </w:r>
      <w:proofErr w:type="spellStart"/>
      <w:r w:rsidR="00253606" w:rsidRPr="006E51C0">
        <w:rPr>
          <w:rFonts w:eastAsia="Calibri"/>
          <w:lang w:val="en-US" w:eastAsia="ar-SA"/>
        </w:rPr>
        <w:t>ru</w:t>
      </w:r>
      <w:proofErr w:type="spellEnd"/>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6E51C0">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w:t>
      </w:r>
      <w:r w:rsidRPr="006E51C0">
        <w:rPr>
          <w:rFonts w:ascii="Times New Roman" w:hAnsi="Times New Roman"/>
          <w:bCs/>
          <w:sz w:val="28"/>
          <w:szCs w:val="28"/>
          <w:lang w:eastAsia="ar-SA"/>
        </w:rPr>
        <w:lastRenderedPageBreak/>
        <w:t>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w:t>
      </w:r>
      <w:r w:rsidRPr="006E51C0">
        <w:rPr>
          <w:rFonts w:eastAsia="Times New Roman"/>
          <w:lang w:eastAsia="ru-RU"/>
        </w:rPr>
        <w:lastRenderedPageBreak/>
        <w:t>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w:t>
      </w:r>
      <w:r w:rsidRPr="006E51C0">
        <w:rPr>
          <w:rFonts w:eastAsia="Times New Roman"/>
          <w:lang w:eastAsia="ru-RU"/>
        </w:rPr>
        <w:lastRenderedPageBreak/>
        <w:t>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E003D1">
        <w:rPr>
          <w:rFonts w:eastAsia="Calibri"/>
          <w:lang w:eastAsia="ar-SA"/>
        </w:rPr>
        <w:t>27</w:t>
      </w:r>
      <w:r w:rsidR="001249EE" w:rsidRPr="006E51C0">
        <w:rPr>
          <w:rFonts w:eastAsia="Calibri"/>
          <w:lang w:eastAsia="ar-SA"/>
        </w:rPr>
        <w:t xml:space="preserve"> </w:t>
      </w:r>
      <w:r w:rsidR="00150DBE">
        <w:rPr>
          <w:rFonts w:eastAsia="Calibri"/>
          <w:lang w:eastAsia="ar-SA"/>
        </w:rPr>
        <w:t>октября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E003D1">
        <w:rPr>
          <w:rFonts w:eastAsia="Calibri"/>
          <w:lang w:eastAsia="ar-SA"/>
        </w:rPr>
        <w:t>11</w:t>
      </w:r>
      <w:r w:rsidR="001249EE" w:rsidRPr="006E51C0">
        <w:rPr>
          <w:rFonts w:eastAsia="Calibri"/>
          <w:lang w:eastAsia="ar-SA"/>
        </w:rPr>
        <w:t xml:space="preserve"> </w:t>
      </w:r>
      <w:r w:rsidR="00E003D1">
        <w:rPr>
          <w:rFonts w:eastAsia="Calibri"/>
          <w:lang w:eastAsia="ar-SA"/>
        </w:rPr>
        <w:t>но</w:t>
      </w:r>
      <w:r w:rsidR="00C97591">
        <w:rPr>
          <w:rFonts w:eastAsia="Calibri"/>
          <w:lang w:eastAsia="ar-SA"/>
        </w:rPr>
        <w:t>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Pr="006E51C0" w:rsidRDefault="00083D57" w:rsidP="008335D1">
      <w:pPr>
        <w:suppressAutoHyphens/>
        <w:spacing w:after="0" w:line="240" w:lineRule="auto"/>
        <w:ind w:firstLine="851"/>
        <w:jc w:val="both"/>
        <w:rPr>
          <w:b/>
        </w:rPr>
      </w:pPr>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E003D1">
        <w:rPr>
          <w:b/>
        </w:rPr>
        <w:t>Мурманская</w:t>
      </w:r>
      <w:r w:rsidR="008335D1" w:rsidRPr="006E51C0">
        <w:rPr>
          <w:b/>
        </w:rPr>
        <w:t>, д.</w:t>
      </w:r>
      <w:r w:rsidR="00E003D1">
        <w:rPr>
          <w:b/>
        </w:rPr>
        <w:t>56</w:t>
      </w:r>
      <w:r w:rsidR="00D945D9" w:rsidRPr="006E51C0">
        <w:rPr>
          <w:b/>
        </w:rPr>
        <w:t>»</w:t>
      </w:r>
      <w:r w:rsidR="008335D1" w:rsidRPr="006E51C0">
        <w:rPr>
          <w:b/>
        </w:rPr>
        <w:t>.</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973746">
        <w:rPr>
          <w:rFonts w:eastAsia="Calibri"/>
          <w:color w:val="000000"/>
          <w:lang w:eastAsia="ar-SA"/>
        </w:rPr>
        <w:t>12</w:t>
      </w:r>
      <w:r w:rsidR="00DF15D4">
        <w:rPr>
          <w:rFonts w:eastAsia="Calibri"/>
          <w:color w:val="000000"/>
          <w:lang w:eastAsia="ar-SA"/>
        </w:rPr>
        <w:t xml:space="preserve"> </w:t>
      </w:r>
      <w:r w:rsidR="00973746">
        <w:rPr>
          <w:rFonts w:eastAsia="Calibri"/>
          <w:color w:val="000000"/>
          <w:lang w:eastAsia="ar-SA"/>
        </w:rPr>
        <w:t>но</w:t>
      </w:r>
      <w:r w:rsidR="00C97591">
        <w:rPr>
          <w:rFonts w:eastAsia="Calibri"/>
          <w:color w:val="000000"/>
          <w:lang w:eastAsia="ar-SA"/>
        </w:rPr>
        <w:t>ября</w:t>
      </w:r>
      <w:r w:rsidR="001249EE" w:rsidRPr="006E51C0">
        <w:rPr>
          <w:rFonts w:eastAsia="Calibri"/>
          <w:color w:val="000000"/>
          <w:lang w:eastAsia="ar-SA"/>
        </w:rPr>
        <w:t xml:space="preserve"> 201</w:t>
      </w:r>
      <w:r w:rsidR="00706D4A" w:rsidRPr="006E51C0">
        <w:rPr>
          <w:rFonts w:eastAsia="Calibri"/>
          <w:color w:val="000000"/>
          <w:lang w:eastAsia="ar-SA"/>
        </w:rPr>
        <w:t>5</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973746">
        <w:rPr>
          <w:rFonts w:eastAsia="Calibri"/>
          <w:lang w:eastAsia="ar-SA"/>
        </w:rPr>
        <w:t>Мурманская</w:t>
      </w:r>
      <w:r w:rsidR="00273EDE" w:rsidRPr="006E51C0">
        <w:rPr>
          <w:rFonts w:eastAsia="Calibri"/>
          <w:lang w:eastAsia="ar-SA"/>
        </w:rPr>
        <w:t>, д.</w:t>
      </w:r>
      <w:r w:rsidR="00973746">
        <w:rPr>
          <w:rFonts w:eastAsia="Calibri"/>
          <w:lang w:eastAsia="ar-SA"/>
        </w:rPr>
        <w:t>56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973746">
        <w:rPr>
          <w:b/>
        </w:rPr>
        <w:t>Мурманская</w:t>
      </w:r>
      <w:r w:rsidR="00F33133" w:rsidRPr="006E51C0">
        <w:rPr>
          <w:b/>
        </w:rPr>
        <w:t xml:space="preserve">, д. </w:t>
      </w:r>
      <w:r w:rsidR="00973746">
        <w:rPr>
          <w:b/>
        </w:rPr>
        <w:t>56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973746">
        <w:t>Мурманская</w:t>
      </w:r>
      <w:r w:rsidR="00F33133" w:rsidRPr="006E51C0">
        <w:t>, д.</w:t>
      </w:r>
      <w:r w:rsidR="00973746">
        <w:t>56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973746">
        <w:t>Мурманская</w:t>
      </w:r>
      <w:r w:rsidR="00273EDE" w:rsidRPr="006E51C0">
        <w:t>, д.</w:t>
      </w:r>
      <w:r w:rsidR="00973746">
        <w:t>56</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4</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lastRenderedPageBreak/>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973746">
        <w:rPr>
          <w:rFonts w:eastAsia="Times New Roman"/>
          <w:b/>
          <w:lang w:eastAsia="ru-RU"/>
        </w:rPr>
        <w:t>56</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973746">
        <w:rPr>
          <w:rFonts w:eastAsia="Times New Roman"/>
          <w:b/>
          <w:lang w:eastAsia="ru-RU"/>
        </w:rPr>
        <w:t>Мурманская</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15</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973746">
        <w:t>Мурманская</w:t>
      </w:r>
      <w:r w:rsidR="00E3435D" w:rsidRPr="006E51C0">
        <w:t>, д.</w:t>
      </w:r>
      <w:r w:rsidR="00973746">
        <w:t>56</w:t>
      </w:r>
      <w:r w:rsidR="00CF56CE" w:rsidRPr="006E51C0">
        <w:rPr>
          <w:rFonts w:eastAsia="Calibri"/>
          <w:lang w:eastAsia="ar-SA"/>
        </w:rPr>
        <w:t xml:space="preserve">, </w:t>
      </w:r>
      <w:r w:rsidRPr="006E51C0">
        <w:rPr>
          <w:rFonts w:eastAsia="Times New Roman"/>
          <w:lang w:eastAsia="ru-RU"/>
        </w:rPr>
        <w:t>в соответствии с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9D26F5" w:rsidRPr="006E51C0" w:rsidRDefault="00722753" w:rsidP="00722753">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lastRenderedPageBreak/>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CF56CE" w:rsidRPr="006E51C0">
        <w:rPr>
          <w:rFonts w:eastAsia="Times New Roman"/>
          <w:bCs/>
          <w:lang w:eastAsia="ru-RU"/>
        </w:rPr>
        <w:t xml:space="preserve"> </w:t>
      </w:r>
      <w:r w:rsidR="00973746">
        <w:rPr>
          <w:rFonts w:eastAsia="Times New Roman"/>
          <w:bCs/>
          <w:lang w:eastAsia="ru-RU"/>
        </w:rPr>
        <w:t>90</w:t>
      </w:r>
      <w:r w:rsidR="00CF56CE" w:rsidRPr="006E51C0">
        <w:rPr>
          <w:rFonts w:eastAsia="Times New Roman"/>
          <w:bCs/>
          <w:lang w:eastAsia="ru-RU"/>
        </w:rPr>
        <w:t xml:space="preserve"> (</w:t>
      </w:r>
      <w:r w:rsidR="00973746">
        <w:rPr>
          <w:rFonts w:eastAsia="Times New Roman"/>
          <w:bCs/>
          <w:lang w:eastAsia="ru-RU"/>
        </w:rPr>
        <w:t>девяносто</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t>Оплата, за выполненные по Договору работы, осуществляются по окончании работ</w:t>
      </w:r>
      <w:r w:rsidRPr="00D07819">
        <w:rPr>
          <w:rFonts w:eastAsia="Calibri"/>
          <w:lang w:eastAsia="ar-SA"/>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22753" w:rsidRPr="00722753" w:rsidRDefault="00550F65" w:rsidP="00722753">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 xml:space="preserve"> Полный расчёт производится после окончани</w:t>
      </w:r>
      <w:r>
        <w:rPr>
          <w:rFonts w:eastAsia="Calibri"/>
          <w:lang w:eastAsia="ar-SA"/>
        </w:rPr>
        <w:t>я</w:t>
      </w:r>
      <w:r w:rsidRPr="00D07819">
        <w:rPr>
          <w:rFonts w:eastAsia="Calibri"/>
          <w:lang w:eastAsia="ar-SA"/>
        </w:rPr>
        <w:t xml:space="preserve"> работ и подпис</w:t>
      </w:r>
      <w:r>
        <w:rPr>
          <w:rFonts w:eastAsia="Calibri"/>
          <w:lang w:eastAsia="ar-SA"/>
        </w:rPr>
        <w:t>ания</w:t>
      </w:r>
      <w:r w:rsidRPr="00D07819">
        <w:rPr>
          <w:rFonts w:eastAsia="Calibri"/>
          <w:lang w:eastAsia="ar-SA"/>
        </w:rPr>
        <w:t xml:space="preserve"> акта рабочей комиссии</w:t>
      </w:r>
      <w:r>
        <w:rPr>
          <w:rFonts w:eastAsia="Calibri"/>
          <w:lang w:eastAsia="ar-SA"/>
        </w:rPr>
        <w:t xml:space="preserve"> </w:t>
      </w:r>
      <w:r w:rsidRPr="00D07819">
        <w:rPr>
          <w:rFonts w:eastAsia="Calibri"/>
          <w:lang w:eastAsia="ar-SA"/>
        </w:rPr>
        <w:t>всеми заинтересованными сторонами</w:t>
      </w:r>
      <w:r w:rsidR="00722753">
        <w:rPr>
          <w:rFonts w:eastAsia="Calibri"/>
          <w:lang w:eastAsia="ar-SA"/>
        </w:rPr>
        <w:t xml:space="preserve">, </w:t>
      </w:r>
      <w:r w:rsidR="00722753" w:rsidRPr="00722753">
        <w:rPr>
          <w:rFonts w:eastAsia="Calibri"/>
          <w:lang w:eastAsia="ar-SA"/>
        </w:rPr>
        <w:t>окончательный расчет не позднее 3</w:t>
      </w:r>
      <w:r w:rsidR="00150DBE">
        <w:rPr>
          <w:rFonts w:eastAsia="Calibri"/>
          <w:lang w:eastAsia="ar-SA"/>
        </w:rPr>
        <w:t>0</w:t>
      </w:r>
      <w:r w:rsidR="00722753" w:rsidRPr="00722753">
        <w:rPr>
          <w:rFonts w:eastAsia="Calibri"/>
          <w:lang w:eastAsia="ar-SA"/>
        </w:rPr>
        <w:t xml:space="preserve"> </w:t>
      </w:r>
      <w:r w:rsidR="00150DBE">
        <w:rPr>
          <w:rFonts w:eastAsia="Calibri"/>
          <w:lang w:eastAsia="ar-SA"/>
        </w:rPr>
        <w:t>июня</w:t>
      </w:r>
      <w:r w:rsidR="00722753" w:rsidRPr="00722753">
        <w:rPr>
          <w:rFonts w:eastAsia="Calibri"/>
          <w:lang w:eastAsia="ar-SA"/>
        </w:rPr>
        <w:t xml:space="preserve"> 2016 года, по мере поступления средств от собственников.</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2F48FA">
        <w:t>0</w:t>
      </w:r>
      <w:r w:rsidR="00973746">
        <w:t>2</w:t>
      </w:r>
      <w:r w:rsidR="00482B6E" w:rsidRPr="006E51C0">
        <w:t xml:space="preserve"> </w:t>
      </w:r>
      <w:r w:rsidR="00973746">
        <w:t>дека</w:t>
      </w:r>
      <w:r w:rsidR="002F48FA">
        <w:t>бря</w:t>
      </w:r>
      <w:r w:rsidR="002D0B79" w:rsidRPr="006E51C0">
        <w:t xml:space="preserve"> 2015 года</w:t>
      </w:r>
      <w:r w:rsidRPr="006E51C0">
        <w:t>.</w:t>
      </w:r>
    </w:p>
    <w:p w:rsidR="00101D89" w:rsidRPr="006E51C0" w:rsidRDefault="00101D89" w:rsidP="008A5677">
      <w:pPr>
        <w:autoSpaceDE w:val="0"/>
        <w:autoSpaceDN w:val="0"/>
        <w:adjustRightInd w:val="0"/>
        <w:spacing w:after="0"/>
        <w:ind w:firstLine="539"/>
        <w:jc w:val="both"/>
      </w:pPr>
      <w:r w:rsidRPr="006E51C0">
        <w:lastRenderedPageBreak/>
        <w:t>4</w:t>
      </w:r>
      <w:bookmarkStart w:id="0" w:name="_Hlk258793356"/>
      <w:r w:rsidRPr="006E51C0">
        <w:t>.2.</w:t>
      </w:r>
      <w:r w:rsidRPr="006E51C0">
        <w:tab/>
        <w:t xml:space="preserve">Срок окончания работ: </w:t>
      </w:r>
      <w:r w:rsidR="002F48FA">
        <w:t>0</w:t>
      </w:r>
      <w:r w:rsidR="00973746">
        <w:t>1</w:t>
      </w:r>
      <w:r w:rsidR="007C165C" w:rsidRPr="006E51C0">
        <w:t xml:space="preserve"> </w:t>
      </w:r>
      <w:r w:rsidR="00150DBE">
        <w:t>марта</w:t>
      </w:r>
      <w:r w:rsidR="00734DF2" w:rsidRPr="006E51C0">
        <w:t xml:space="preserve"> </w:t>
      </w:r>
      <w:r w:rsidR="001249EE" w:rsidRPr="006E51C0">
        <w:t>201</w:t>
      </w:r>
      <w:r w:rsidR="00160FF2">
        <w:t>6 года</w:t>
      </w:r>
      <w:r w:rsidRPr="006E51C0">
        <w:t xml:space="preserve"> </w:t>
      </w:r>
      <w:bookmarkEnd w:id="0"/>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w:t>
      </w:r>
      <w:r w:rsidRPr="006E51C0">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2F48FA" w:rsidRPr="002F48FA" w:rsidRDefault="001249EE" w:rsidP="002F48FA">
      <w:pPr>
        <w:autoSpaceDE w:val="0"/>
        <w:autoSpaceDN w:val="0"/>
        <w:adjustRightInd w:val="0"/>
        <w:spacing w:after="0"/>
        <w:ind w:firstLine="539"/>
        <w:jc w:val="both"/>
      </w:pPr>
      <w:r w:rsidRPr="006E51C0">
        <w:lastRenderedPageBreak/>
        <w:t xml:space="preserve">6.1.19. Подрядчик </w:t>
      </w:r>
      <w:r w:rsidR="00273DA8" w:rsidRPr="006E51C0">
        <w:t xml:space="preserve">выполняет инструментальное обследование конструкций крыши и фасада. </w:t>
      </w:r>
      <w:r w:rsidR="002F48FA" w:rsidRPr="002F48FA">
        <w:t>С учетом обследования составляет дефектную ведомость и сметную документацию и согласовывает с Заказчиком документацию на выполнение работ по капитальному ремонту</w:t>
      </w:r>
      <w:r w:rsidR="002F48FA">
        <w:t xml:space="preserve"> крыши и</w:t>
      </w:r>
      <w:r w:rsidR="002F48FA" w:rsidRPr="002F48FA">
        <w:t xml:space="preserve"> фасада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E51C0">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E51C0">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lastRenderedPageBreak/>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2015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973746">
        <w:rPr>
          <w:b/>
        </w:rPr>
        <w:t>Мурманская</w:t>
      </w:r>
      <w:r w:rsidR="006B1631" w:rsidRPr="006E51C0">
        <w:rPr>
          <w:b/>
        </w:rPr>
        <w:t xml:space="preserve">, д. </w:t>
      </w:r>
      <w:r w:rsidR="00973746">
        <w:rPr>
          <w:b/>
        </w:rPr>
        <w:t>56</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973746">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973746">
              <w:rPr>
                <w:sz w:val="24"/>
                <w:szCs w:val="24"/>
              </w:rPr>
              <w:t>Мурманская</w:t>
            </w:r>
            <w:r w:rsidR="006B1631" w:rsidRPr="006E51C0">
              <w:rPr>
                <w:sz w:val="24"/>
                <w:szCs w:val="24"/>
              </w:rPr>
              <w:t xml:space="preserve">, дом № </w:t>
            </w:r>
            <w:r w:rsidR="00973746">
              <w:rPr>
                <w:sz w:val="24"/>
                <w:szCs w:val="24"/>
              </w:rPr>
              <w:t>56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ство этажей -  2</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Количество подъездов – </w:t>
            </w:r>
            <w:r w:rsidR="00973746">
              <w:rPr>
                <w:rFonts w:eastAsia="Calibri"/>
                <w:sz w:val="24"/>
                <w:szCs w:val="24"/>
                <w:lang w:eastAsia="ar-SA"/>
              </w:rPr>
              <w:t>2</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DB65F5">
              <w:rPr>
                <w:rFonts w:eastAsia="Calibri"/>
                <w:sz w:val="24"/>
                <w:szCs w:val="24"/>
                <w:lang w:eastAsia="ar-SA"/>
              </w:rPr>
              <w:t>5</w:t>
            </w:r>
            <w:r w:rsidR="00973746">
              <w:rPr>
                <w:rFonts w:eastAsia="Calibri"/>
                <w:sz w:val="24"/>
                <w:szCs w:val="24"/>
                <w:lang w:eastAsia="ar-SA"/>
              </w:rPr>
              <w:t>0</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DE0A21">
              <w:rPr>
                <w:rFonts w:eastAsia="Calibri"/>
                <w:sz w:val="24"/>
                <w:szCs w:val="24"/>
                <w:lang w:eastAsia="ar-SA"/>
              </w:rPr>
              <w:t>65</w:t>
            </w:r>
            <w:r w:rsidR="006F3981" w:rsidRPr="006E51C0">
              <w:rPr>
                <w:rFonts w:eastAsia="Calibri"/>
                <w:sz w:val="24"/>
                <w:szCs w:val="24"/>
                <w:lang w:eastAsia="ar-SA"/>
              </w:rPr>
              <w:t xml:space="preserve"> 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Кровля - шиферная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lastRenderedPageBreak/>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улица Папанина</w:t>
            </w:r>
            <w:r w:rsidRPr="006E51C0">
              <w:rPr>
                <w:rFonts w:eastAsia="Calibri"/>
                <w:sz w:val="24"/>
                <w:szCs w:val="24"/>
                <w:lang w:eastAsia="ar-SA"/>
              </w:rPr>
              <w:t xml:space="preserve">, д.№ </w:t>
            </w:r>
            <w:r w:rsidR="00C944E3" w:rsidRPr="006E51C0">
              <w:rPr>
                <w:rFonts w:eastAsia="Calibri"/>
                <w:sz w:val="24"/>
                <w:szCs w:val="24"/>
                <w:lang w:eastAsia="ar-SA"/>
              </w:rPr>
              <w:t>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bookmarkStart w:id="1" w:name="_GoBack"/>
            <w:bookmarkEnd w:id="1"/>
            <w:r w:rsidRPr="006E51C0">
              <w:rPr>
                <w:rFonts w:eastAsia="Calibri"/>
                <w:sz w:val="24"/>
                <w:szCs w:val="24"/>
                <w:lang w:eastAsia="ar-SA"/>
              </w:rPr>
              <w:t>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DA5763" w:rsidRPr="006E51C0">
        <w:rPr>
          <w:rFonts w:eastAsia="Times New Roman"/>
          <w:bCs/>
          <w:lang w:eastAsia="ar-SA"/>
        </w:rPr>
        <w:t>5</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DE0A21">
        <w:rPr>
          <w:rFonts w:eastAsia="Calibri"/>
          <w:b/>
          <w:lang w:eastAsia="ar-SA"/>
        </w:rPr>
        <w:t>Мурманская</w:t>
      </w:r>
      <w:r w:rsidR="00482B6E" w:rsidRPr="006E51C0">
        <w:rPr>
          <w:rFonts w:eastAsia="Calibri"/>
          <w:b/>
          <w:lang w:eastAsia="ar-SA"/>
        </w:rPr>
        <w:t xml:space="preserve">, д. </w:t>
      </w:r>
      <w:r w:rsidR="00DE0A21">
        <w:rPr>
          <w:rFonts w:eastAsia="Calibri"/>
          <w:b/>
          <w:lang w:eastAsia="ar-SA"/>
        </w:rPr>
        <w:t>56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842"/>
      </w:tblGrid>
      <w:tr w:rsidR="000C449A" w:rsidRPr="006E51C0" w:rsidTr="00DE0A21">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F56C8F">
            <w:pPr>
              <w:suppressAutoHyphens/>
              <w:spacing w:after="0" w:line="240" w:lineRule="auto"/>
              <w:rPr>
                <w:rFonts w:eastAsia="Calibri"/>
                <w:sz w:val="24"/>
                <w:szCs w:val="24"/>
                <w:lang w:eastAsia="ar-SA"/>
              </w:rPr>
            </w:pPr>
          </w:p>
          <w:p w:rsidR="000C449A" w:rsidRPr="006E51C0" w:rsidRDefault="000C449A"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766" w:type="dxa"/>
            <w:gridSpan w:val="4"/>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Период</w:t>
            </w:r>
          </w:p>
        </w:tc>
      </w:tr>
      <w:tr w:rsidR="000C449A" w:rsidRPr="006E51C0" w:rsidTr="00DE0A21">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6766" w:type="dxa"/>
            <w:gridSpan w:val="4"/>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2015</w:t>
            </w:r>
            <w:r w:rsidR="00B51A65">
              <w:rPr>
                <w:rFonts w:eastAsia="Calibri"/>
                <w:sz w:val="24"/>
                <w:szCs w:val="24"/>
                <w:lang w:eastAsia="ar-SA"/>
              </w:rPr>
              <w:t>-2016</w:t>
            </w:r>
            <w:r w:rsidRPr="006E51C0">
              <w:rPr>
                <w:rFonts w:eastAsia="Calibri"/>
                <w:sz w:val="24"/>
                <w:szCs w:val="24"/>
                <w:lang w:eastAsia="ar-SA"/>
              </w:rPr>
              <w:t xml:space="preserve"> год</w:t>
            </w:r>
            <w:r w:rsidR="00B51A65">
              <w:rPr>
                <w:rFonts w:eastAsia="Calibri"/>
                <w:sz w:val="24"/>
                <w:szCs w:val="24"/>
                <w:lang w:eastAsia="ar-SA"/>
              </w:rPr>
              <w:t>ы</w:t>
            </w:r>
          </w:p>
        </w:tc>
      </w:tr>
      <w:tr w:rsidR="00DE0A21" w:rsidRPr="006E51C0" w:rsidTr="00DE0A21">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0A21" w:rsidRPr="006E51C0" w:rsidRDefault="00DE0A21" w:rsidP="00DE0A21">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0A21" w:rsidRPr="006E51C0" w:rsidRDefault="00DE0A21" w:rsidP="00DE0A21">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0A21" w:rsidRPr="006E51C0" w:rsidRDefault="00DE0A21" w:rsidP="00DE0A21">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0A21" w:rsidRPr="006E51C0" w:rsidRDefault="00DE0A21" w:rsidP="00DE0A21">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0A21" w:rsidRPr="006E51C0" w:rsidRDefault="00DE0A21" w:rsidP="00DE0A21">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DE0A21" w:rsidRDefault="00DE0A21" w:rsidP="00DE0A21">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tcPr>
          <w:p w:rsidR="00DE0A21" w:rsidRDefault="00DE0A21" w:rsidP="00DE0A21">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DE0A21" w:rsidRDefault="00DE0A21" w:rsidP="00DE0A21">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842" w:type="dxa"/>
            <w:tcBorders>
              <w:top w:val="single" w:sz="4" w:space="0" w:color="auto"/>
              <w:left w:val="single" w:sz="4" w:space="0" w:color="auto"/>
              <w:bottom w:val="single" w:sz="4" w:space="0" w:color="auto"/>
              <w:right w:val="single" w:sz="4" w:space="0" w:color="auto"/>
            </w:tcBorders>
          </w:tcPr>
          <w:p w:rsidR="00DE0A21" w:rsidRDefault="00DE0A21" w:rsidP="00DE0A21">
            <w:pPr>
              <w:suppressAutoHyphens/>
              <w:spacing w:after="0" w:line="240" w:lineRule="auto"/>
              <w:jc w:val="center"/>
              <w:rPr>
                <w:rFonts w:eastAsia="Calibri"/>
                <w:sz w:val="24"/>
                <w:szCs w:val="24"/>
                <w:lang w:eastAsia="ar-SA"/>
              </w:rPr>
            </w:pPr>
            <w:r>
              <w:rPr>
                <w:rFonts w:eastAsia="Calibri"/>
                <w:sz w:val="24"/>
                <w:szCs w:val="24"/>
                <w:lang w:eastAsia="ar-SA"/>
              </w:rPr>
              <w:t>март</w:t>
            </w:r>
          </w:p>
        </w:tc>
      </w:tr>
      <w:tr w:rsidR="00DE0A21" w:rsidRPr="006E51C0" w:rsidTr="00DE0A2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E0A21" w:rsidRPr="006E51C0" w:rsidRDefault="00DE0A21" w:rsidP="00DE0A21">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0A21" w:rsidRPr="006E51C0" w:rsidRDefault="00DE0A21" w:rsidP="00DE0A2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0A21" w:rsidRPr="006E51C0" w:rsidRDefault="00DE0A21" w:rsidP="00DE0A21">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DE0A21" w:rsidRPr="006E51C0" w:rsidRDefault="00DE0A21" w:rsidP="00DE0A21">
            <w:pPr>
              <w:suppressAutoHyphens/>
              <w:spacing w:after="0" w:line="240" w:lineRule="auto"/>
              <w:rPr>
                <w:rFonts w:eastAsia="Calibri"/>
                <w:sz w:val="24"/>
                <w:szCs w:val="24"/>
                <w:lang w:eastAsia="ar-SA"/>
              </w:rPr>
            </w:pPr>
          </w:p>
        </w:tc>
      </w:tr>
      <w:tr w:rsidR="00DE0A21" w:rsidRPr="006E51C0" w:rsidTr="00DE0A2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E0A21" w:rsidRPr="006E51C0" w:rsidRDefault="00DE0A21" w:rsidP="00DE0A21">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0A21" w:rsidRPr="006E51C0" w:rsidRDefault="00DE0A21" w:rsidP="00DE0A2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0A21" w:rsidRPr="006E51C0" w:rsidRDefault="00DE0A21" w:rsidP="00DE0A21">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DE0A21" w:rsidRPr="006E51C0" w:rsidRDefault="00DE0A21" w:rsidP="00DE0A21">
            <w:pPr>
              <w:suppressAutoHyphens/>
              <w:spacing w:after="0" w:line="240" w:lineRule="auto"/>
              <w:rPr>
                <w:rFonts w:eastAsia="Calibri"/>
                <w:sz w:val="24"/>
                <w:szCs w:val="24"/>
                <w:lang w:eastAsia="ar-SA"/>
              </w:rPr>
            </w:pPr>
          </w:p>
        </w:tc>
      </w:tr>
      <w:tr w:rsidR="00DE0A21" w:rsidRPr="006E51C0" w:rsidTr="00DE0A2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0A21" w:rsidRPr="006E51C0" w:rsidRDefault="00DE0A21" w:rsidP="00DE0A21">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E0A21" w:rsidRPr="006E51C0" w:rsidRDefault="00DE0A21" w:rsidP="00DE0A21">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DE0A21" w:rsidRPr="006E51C0" w:rsidRDefault="00DE0A21" w:rsidP="00DE0A21">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2E" w:rsidRDefault="004E1A2E">
      <w:pPr>
        <w:spacing w:after="0" w:line="240" w:lineRule="auto"/>
      </w:pPr>
      <w:r>
        <w:separator/>
      </w:r>
    </w:p>
  </w:endnote>
  <w:endnote w:type="continuationSeparator" w:id="0">
    <w:p w:rsidR="004E1A2E" w:rsidRDefault="004E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Default="00E003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003D1" w:rsidRPr="00F320A5" w:rsidRDefault="00E003D1" w:rsidP="00E00564">
    <w:pPr>
      <w:pStyle w:val="af2"/>
      <w:ind w:right="360" w:firstLine="360"/>
      <w:jc w:val="center"/>
      <w:rPr>
        <w:sz w:val="18"/>
        <w:szCs w:val="18"/>
      </w:rPr>
    </w:pPr>
  </w:p>
  <w:p w:rsidR="00E003D1" w:rsidRDefault="00E003D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Default="00E003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003D1" w:rsidRDefault="00E003D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Default="00E003D1" w:rsidP="00E00564">
    <w:pPr>
      <w:pStyle w:val="af2"/>
      <w:framePr w:wrap="around" w:vAnchor="text" w:hAnchor="margin" w:xAlign="right" w:y="1"/>
      <w:rPr>
        <w:rStyle w:val="af1"/>
      </w:rPr>
    </w:pPr>
  </w:p>
  <w:p w:rsidR="00E003D1" w:rsidRDefault="00E003D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2E" w:rsidRDefault="004E1A2E">
      <w:pPr>
        <w:spacing w:after="0" w:line="240" w:lineRule="auto"/>
      </w:pPr>
      <w:r>
        <w:separator/>
      </w:r>
    </w:p>
  </w:footnote>
  <w:footnote w:type="continuationSeparator" w:id="0">
    <w:p w:rsidR="004E1A2E" w:rsidRDefault="004E1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Pr="000B39A5" w:rsidRDefault="00E003D1">
    <w:pPr>
      <w:pStyle w:val="af"/>
      <w:jc w:val="center"/>
      <w:rPr>
        <w:sz w:val="18"/>
        <w:szCs w:val="18"/>
      </w:rPr>
    </w:pPr>
  </w:p>
  <w:p w:rsidR="00E003D1" w:rsidRDefault="00E003D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Pr="000B39A5" w:rsidRDefault="00E003D1">
    <w:pPr>
      <w:pStyle w:val="af"/>
      <w:jc w:val="center"/>
      <w:rPr>
        <w:sz w:val="18"/>
        <w:szCs w:val="18"/>
      </w:rPr>
    </w:pPr>
  </w:p>
  <w:p w:rsidR="00E003D1" w:rsidRDefault="00E003D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2FC"/>
    <w:rsid w:val="0017465E"/>
    <w:rsid w:val="0018443A"/>
    <w:rsid w:val="0019147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A9E"/>
    <w:rsid w:val="002B3E64"/>
    <w:rsid w:val="002B489E"/>
    <w:rsid w:val="002B4DC0"/>
    <w:rsid w:val="002C0604"/>
    <w:rsid w:val="002D0B79"/>
    <w:rsid w:val="002D1EBC"/>
    <w:rsid w:val="002D6DFC"/>
    <w:rsid w:val="002E05EB"/>
    <w:rsid w:val="002E2491"/>
    <w:rsid w:val="002E627E"/>
    <w:rsid w:val="002F48FA"/>
    <w:rsid w:val="002F71D4"/>
    <w:rsid w:val="0030115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766"/>
    <w:rsid w:val="004758F1"/>
    <w:rsid w:val="00482B6E"/>
    <w:rsid w:val="00484A45"/>
    <w:rsid w:val="0049030F"/>
    <w:rsid w:val="00491C43"/>
    <w:rsid w:val="00495059"/>
    <w:rsid w:val="004A2018"/>
    <w:rsid w:val="004B3B3C"/>
    <w:rsid w:val="004C0BD9"/>
    <w:rsid w:val="004D4130"/>
    <w:rsid w:val="004E1A2E"/>
    <w:rsid w:val="004E24E3"/>
    <w:rsid w:val="004E4E03"/>
    <w:rsid w:val="00511632"/>
    <w:rsid w:val="00515591"/>
    <w:rsid w:val="00517F73"/>
    <w:rsid w:val="00524606"/>
    <w:rsid w:val="00534395"/>
    <w:rsid w:val="00536F07"/>
    <w:rsid w:val="00550F65"/>
    <w:rsid w:val="005573F5"/>
    <w:rsid w:val="00557ED8"/>
    <w:rsid w:val="00560B15"/>
    <w:rsid w:val="00565709"/>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1625E"/>
    <w:rsid w:val="00651E37"/>
    <w:rsid w:val="00656844"/>
    <w:rsid w:val="00661136"/>
    <w:rsid w:val="00661594"/>
    <w:rsid w:val="0066245D"/>
    <w:rsid w:val="00663DDC"/>
    <w:rsid w:val="00673818"/>
    <w:rsid w:val="00673FA7"/>
    <w:rsid w:val="0067603E"/>
    <w:rsid w:val="00694718"/>
    <w:rsid w:val="006A302E"/>
    <w:rsid w:val="006A33DC"/>
    <w:rsid w:val="006B1631"/>
    <w:rsid w:val="006B2C96"/>
    <w:rsid w:val="006C5113"/>
    <w:rsid w:val="006C5EA3"/>
    <w:rsid w:val="006D1196"/>
    <w:rsid w:val="006E4DE2"/>
    <w:rsid w:val="006E51C0"/>
    <w:rsid w:val="006F3981"/>
    <w:rsid w:val="007012B1"/>
    <w:rsid w:val="00706849"/>
    <w:rsid w:val="007069E6"/>
    <w:rsid w:val="00706D4A"/>
    <w:rsid w:val="00722753"/>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4AC"/>
    <w:rsid w:val="00784539"/>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6201A"/>
    <w:rsid w:val="00972AA7"/>
    <w:rsid w:val="00973746"/>
    <w:rsid w:val="009756A5"/>
    <w:rsid w:val="00976AF7"/>
    <w:rsid w:val="009824A2"/>
    <w:rsid w:val="00984A73"/>
    <w:rsid w:val="00984AF8"/>
    <w:rsid w:val="00987BC4"/>
    <w:rsid w:val="00993C0D"/>
    <w:rsid w:val="00994BBB"/>
    <w:rsid w:val="00995919"/>
    <w:rsid w:val="009A14D4"/>
    <w:rsid w:val="009A2BB1"/>
    <w:rsid w:val="009C3CA0"/>
    <w:rsid w:val="009C6918"/>
    <w:rsid w:val="009D1F75"/>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0861"/>
    <w:rsid w:val="00B1288D"/>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0A21"/>
    <w:rsid w:val="00DE195C"/>
    <w:rsid w:val="00DF070C"/>
    <w:rsid w:val="00DF15D4"/>
    <w:rsid w:val="00DF25E7"/>
    <w:rsid w:val="00DF2B99"/>
    <w:rsid w:val="00DF4777"/>
    <w:rsid w:val="00DF7531"/>
    <w:rsid w:val="00E003D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660C"/>
    <w:rsid w:val="00F43713"/>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18F3-CE81-49E3-A084-0418B434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39</Pages>
  <Words>11060</Words>
  <Characters>63046</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241</cp:revision>
  <cp:lastPrinted>2015-10-15T12:48:00Z</cp:lastPrinted>
  <dcterms:created xsi:type="dcterms:W3CDTF">2014-10-08T05:45:00Z</dcterms:created>
  <dcterms:modified xsi:type="dcterms:W3CDTF">2015-10-15T12:56:00Z</dcterms:modified>
</cp:coreProperties>
</file>