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3D1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240653">
        <w:rPr>
          <w:rFonts w:eastAsia="Calibri"/>
          <w:b/>
          <w:bCs/>
          <w:kern w:val="32"/>
          <w:lang w:eastAsia="ru-RU"/>
        </w:rPr>
        <w:t>ул</w:t>
      </w:r>
      <w:r w:rsidR="000C40DA">
        <w:rPr>
          <w:rFonts w:eastAsia="Calibri"/>
          <w:b/>
          <w:bCs/>
          <w:kern w:val="32"/>
          <w:lang w:eastAsia="ru-RU"/>
        </w:rPr>
        <w:t xml:space="preserve">. </w:t>
      </w:r>
      <w:r w:rsidR="00240653">
        <w:rPr>
          <w:rFonts w:eastAsia="Calibri"/>
          <w:b/>
          <w:bCs/>
          <w:kern w:val="32"/>
          <w:lang w:eastAsia="ru-RU"/>
        </w:rPr>
        <w:t>ЧЕЛЮСКИНЦЕВ</w:t>
      </w:r>
      <w:r w:rsidR="000C40DA">
        <w:rPr>
          <w:rFonts w:eastAsia="Calibri"/>
          <w:b/>
          <w:bCs/>
          <w:kern w:val="32"/>
          <w:lang w:eastAsia="ru-RU"/>
        </w:rPr>
        <w:t>, д</w:t>
      </w:r>
      <w:r w:rsidRPr="00FA67C6">
        <w:rPr>
          <w:rFonts w:eastAsia="Calibri"/>
          <w:b/>
          <w:bCs/>
          <w:kern w:val="32"/>
          <w:lang w:eastAsia="ru-RU"/>
        </w:rPr>
        <w:t xml:space="preserve">. </w:t>
      </w:r>
      <w:r w:rsidR="00240653">
        <w:rPr>
          <w:rFonts w:eastAsia="Calibri"/>
          <w:b/>
          <w:bCs/>
          <w:kern w:val="32"/>
          <w:lang w:eastAsia="ru-RU"/>
        </w:rPr>
        <w:t>9</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3D11A4">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240653">
        <w:t>ул</w:t>
      </w:r>
      <w:r w:rsidR="001A1A9C" w:rsidRPr="005C4E30">
        <w:t xml:space="preserve">. </w:t>
      </w:r>
      <w:r w:rsidR="00240653">
        <w:t>Челюскинцев</w:t>
      </w:r>
      <w:r w:rsidR="001A1A9C" w:rsidRPr="005C4E30">
        <w:t>, д.</w:t>
      </w:r>
      <w:r w:rsidR="00554366">
        <w:t xml:space="preserve"> 9</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6B5C41">
        <w:rPr>
          <w:rFonts w:eastAsia="Calibri"/>
          <w:lang w:eastAsia="ar-SA"/>
        </w:rPr>
        <w:t>9</w:t>
      </w:r>
      <w:r w:rsidR="00863C5B" w:rsidRPr="00863C5B">
        <w:rPr>
          <w:rFonts w:eastAsia="Calibri"/>
          <w:lang w:eastAsia="ar-SA"/>
        </w:rPr>
        <w:t xml:space="preserve"> по </w:t>
      </w:r>
      <w:r w:rsidR="00240653" w:rsidRPr="00240653">
        <w:rPr>
          <w:rFonts w:eastAsia="Calibri"/>
          <w:lang w:eastAsia="ar-SA"/>
        </w:rPr>
        <w:t>ул. Челюскинцев</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240653">
        <w:rPr>
          <w:rFonts w:eastAsia="Calibri"/>
          <w:lang w:eastAsia="ar-SA"/>
        </w:rPr>
        <w:t>1 120 270,76</w:t>
      </w:r>
      <w:r w:rsidR="00FD365F">
        <w:rPr>
          <w:rFonts w:eastAsia="Calibri"/>
          <w:lang w:eastAsia="ar-SA"/>
        </w:rPr>
        <w:t xml:space="preserve"> (</w:t>
      </w:r>
      <w:r w:rsidR="00240653">
        <w:rPr>
          <w:rFonts w:eastAsia="Calibri"/>
          <w:lang w:eastAsia="ar-SA"/>
        </w:rPr>
        <w:t>один миллион сто двадцать тысяч двести семьдесят</w:t>
      </w:r>
      <w:r w:rsidR="00FD365F">
        <w:rPr>
          <w:rFonts w:eastAsia="Calibri"/>
          <w:lang w:eastAsia="ar-SA"/>
        </w:rPr>
        <w:t xml:space="preserve">) рублей </w:t>
      </w:r>
      <w:r w:rsidR="00240653">
        <w:rPr>
          <w:rFonts w:eastAsia="Calibri"/>
          <w:lang w:eastAsia="ar-SA"/>
        </w:rPr>
        <w:t>7</w:t>
      </w:r>
      <w:r w:rsidR="006A6B80">
        <w:rPr>
          <w:rFonts w:eastAsia="Calibri"/>
          <w:lang w:eastAsia="ar-SA"/>
        </w:rPr>
        <w:t>6</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354913"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w:t>
      </w:r>
      <w:r w:rsidRPr="00EE3388">
        <w:rPr>
          <w:rFonts w:eastAsia="Times New Roman"/>
          <w:lang w:eastAsia="ru-RU"/>
        </w:rPr>
        <w:lastRenderedPageBreak/>
        <w:t>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 xml:space="preserve">3 (Три) </w:t>
      </w:r>
      <w:r>
        <w:rPr>
          <w:rFonts w:eastAsia="Times New Roman"/>
          <w:lang w:eastAsia="ru-RU"/>
        </w:rPr>
        <w:lastRenderedPageBreak/>
        <w:t>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3D11A4">
        <w:rPr>
          <w:rFonts w:eastAsia="Calibri"/>
          <w:lang w:eastAsia="ar-SA"/>
        </w:rPr>
        <w:t>25</w:t>
      </w:r>
      <w:r w:rsidR="001249EE" w:rsidRPr="003C7EAA">
        <w:rPr>
          <w:rFonts w:eastAsia="Calibri"/>
          <w:lang w:eastAsia="ar-SA"/>
        </w:rPr>
        <w:t xml:space="preserve"> </w:t>
      </w:r>
      <w:r w:rsidR="003D11A4">
        <w:rPr>
          <w:rFonts w:eastAsia="Calibri"/>
          <w:lang w:eastAsia="ar-SA"/>
        </w:rPr>
        <w:t>марта</w:t>
      </w:r>
      <w:r w:rsidRPr="003C7EAA">
        <w:rPr>
          <w:rFonts w:eastAsia="Calibri"/>
          <w:lang w:eastAsia="ar-SA"/>
        </w:rPr>
        <w:t xml:space="preserve"> 201</w:t>
      </w:r>
      <w:r w:rsidR="003D11A4">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3D11A4">
        <w:rPr>
          <w:rFonts w:eastAsia="Calibri"/>
          <w:lang w:eastAsia="ar-SA"/>
        </w:rPr>
        <w:t>27</w:t>
      </w:r>
      <w:r w:rsidR="001249EE" w:rsidRPr="003C7EAA">
        <w:rPr>
          <w:rFonts w:eastAsia="Calibri"/>
          <w:lang w:eastAsia="ar-SA"/>
        </w:rPr>
        <w:t xml:space="preserve"> </w:t>
      </w:r>
      <w:r w:rsidR="003D11A4">
        <w:rPr>
          <w:rFonts w:eastAsia="Calibri"/>
          <w:lang w:eastAsia="ar-SA"/>
        </w:rPr>
        <w:t>апреля</w:t>
      </w:r>
      <w:r w:rsidRPr="003C7EAA">
        <w:rPr>
          <w:rFonts w:eastAsia="Calibri"/>
          <w:lang w:eastAsia="ar-SA"/>
        </w:rPr>
        <w:t xml:space="preserve"> 201</w:t>
      </w:r>
      <w:r w:rsidR="003D11A4">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885597" w:rsidRPr="00885597">
        <w:rPr>
          <w:b/>
        </w:rPr>
        <w:t>ул. Челюскинцев, д. 9</w:t>
      </w:r>
      <w:r>
        <w:rPr>
          <w:b/>
        </w:rPr>
        <w:t xml:space="preserve"> (проектные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554366">
        <w:rPr>
          <w:b/>
        </w:rPr>
        <w:t>9</w:t>
      </w:r>
      <w:r w:rsidRPr="005E0B92">
        <w:rPr>
          <w:b/>
        </w:rPr>
        <w:t xml:space="preserve"> по </w:t>
      </w:r>
      <w:r w:rsidR="00885597" w:rsidRPr="00885597">
        <w:rPr>
          <w:b/>
        </w:rPr>
        <w:t>ул. Челюскинцев</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3D11A4">
        <w:rPr>
          <w:rFonts w:eastAsia="Calibri"/>
          <w:color w:val="000000"/>
          <w:lang w:eastAsia="ar-SA"/>
        </w:rPr>
        <w:t>28</w:t>
      </w:r>
      <w:r w:rsidR="001249EE" w:rsidRPr="003C7EAA">
        <w:rPr>
          <w:rFonts w:eastAsia="Calibri"/>
          <w:color w:val="000000"/>
          <w:lang w:eastAsia="ar-SA"/>
        </w:rPr>
        <w:t xml:space="preserve"> </w:t>
      </w:r>
      <w:r w:rsidR="003D11A4">
        <w:rPr>
          <w:rFonts w:eastAsia="Calibri"/>
          <w:color w:val="000000"/>
          <w:lang w:eastAsia="ar-SA"/>
        </w:rPr>
        <w:t>апреля</w:t>
      </w:r>
      <w:r w:rsidR="001249EE" w:rsidRPr="003C7EAA">
        <w:rPr>
          <w:rFonts w:eastAsia="Calibri"/>
          <w:color w:val="000000"/>
          <w:lang w:eastAsia="ar-SA"/>
        </w:rPr>
        <w:t xml:space="preserve"> 201</w:t>
      </w:r>
      <w:r w:rsidR="003D11A4">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C60E58" w:rsidRPr="00C60E58">
        <w:rPr>
          <w:rFonts w:eastAsia="Calibri"/>
          <w:lang w:eastAsia="ar-SA"/>
        </w:rPr>
        <w:t>ул. Челюскинцев, д. 9</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rFonts w:eastAsia="Calibri"/>
          <w:lang w:eastAsia="ar-SA"/>
        </w:rPr>
        <w:t>9</w:t>
      </w:r>
      <w:r w:rsidR="005E0B92" w:rsidRPr="005E0B92">
        <w:rPr>
          <w:rFonts w:eastAsia="Calibri"/>
          <w:lang w:eastAsia="ar-SA"/>
        </w:rPr>
        <w:t xml:space="preserve"> по </w:t>
      </w:r>
      <w:r w:rsidR="00C60E58" w:rsidRPr="00C60E58">
        <w:rPr>
          <w:rFonts w:eastAsia="Calibri"/>
          <w:lang w:eastAsia="ar-SA"/>
        </w:rPr>
        <w:t>ул. Челюскинцев</w:t>
      </w:r>
      <w:r w:rsidR="00DF455E">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w:t>
      </w:r>
      <w:r w:rsidR="00DF455E" w:rsidRPr="00DF455E">
        <w:t xml:space="preserve"> </w:t>
      </w:r>
      <w:r w:rsidR="00DF455E" w:rsidRPr="00DF455E">
        <w:rPr>
          <w:b/>
        </w:rPr>
        <w:t>ул. Челюскинцев, д. 9</w:t>
      </w:r>
      <w:r w:rsidR="00DF455E">
        <w:rPr>
          <w:b/>
        </w:rPr>
        <w:t xml:space="preserve"> </w:t>
      </w:r>
      <w:r w:rsidR="00BF69D4">
        <w:rPr>
          <w:b/>
        </w:rPr>
        <w:t>(проектные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b/>
        </w:rPr>
        <w:t>9</w:t>
      </w:r>
      <w:r w:rsidR="005E0B92" w:rsidRPr="005E0B92">
        <w:rPr>
          <w:b/>
        </w:rPr>
        <w:t xml:space="preserve"> по </w:t>
      </w:r>
      <w:r w:rsidR="00DF455E">
        <w:rPr>
          <w:b/>
        </w:rPr>
        <w:t>ул. Челюскинцев</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DF455E" w:rsidRPr="00DF455E">
        <w:t>ул. Челюскинцев, д. 9</w:t>
      </w:r>
      <w:r w:rsidR="00DF455E">
        <w:t xml:space="preserve"> </w:t>
      </w:r>
      <w:r w:rsidR="00BF69D4">
        <w:t>(проектные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t>9</w:t>
      </w:r>
      <w:r w:rsidR="005E0B92" w:rsidRPr="005E0B92">
        <w:t xml:space="preserve"> </w:t>
      </w:r>
      <w:r w:rsidR="00D551BC">
        <w:t xml:space="preserve">по </w:t>
      </w:r>
      <w:r w:rsidR="00DF455E" w:rsidRPr="00DF455E">
        <w:t>ул. Челюскинцев</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551BC" w:rsidRPr="00D551BC">
        <w:t>ул. Челюскинцев, д. 9</w:t>
      </w:r>
      <w:r w:rsidR="00D551BC">
        <w:t xml:space="preserve"> </w:t>
      </w:r>
      <w:r w:rsidR="00BF69D4">
        <w:t>(проектные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t>9</w:t>
      </w:r>
      <w:r w:rsidR="00AD66FE" w:rsidRPr="00AD66FE">
        <w:t xml:space="preserve"> </w:t>
      </w:r>
      <w:r w:rsidR="00D551BC" w:rsidRPr="00D551BC">
        <w:t>ул. Челюскинцев</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lastRenderedPageBreak/>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F56CE" w:rsidRPr="00694718" w:rsidRDefault="009D26F5" w:rsidP="008F0F48">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2D13F5">
        <w:rPr>
          <w:rFonts w:eastAsia="Times New Roman"/>
          <w:b/>
          <w:lang w:eastAsia="ru-RU"/>
        </w:rPr>
        <w:t>9</w:t>
      </w:r>
      <w:r w:rsidR="000E30C0">
        <w:rPr>
          <w:rFonts w:eastAsia="Times New Roman"/>
          <w:b/>
          <w:lang w:eastAsia="ru-RU"/>
        </w:rPr>
        <w:t xml:space="preserve"> </w:t>
      </w:r>
      <w:r w:rsidR="008F0F48">
        <w:rPr>
          <w:rFonts w:eastAsia="Times New Roman"/>
          <w:b/>
          <w:lang w:eastAsia="ru-RU"/>
        </w:rPr>
        <w:t xml:space="preserve">по </w:t>
      </w:r>
      <w:r w:rsidR="008F0F48" w:rsidRPr="008F0F48">
        <w:rPr>
          <w:rFonts w:eastAsia="Times New Roman"/>
          <w:b/>
          <w:lang w:eastAsia="ru-RU"/>
        </w:rPr>
        <w:t>ул. Челюскинцев</w:t>
      </w:r>
      <w:r w:rsidR="000E30C0">
        <w:rPr>
          <w:rFonts w:eastAsia="Times New Roman"/>
          <w:b/>
          <w:lang w:eastAsia="ru-RU"/>
        </w:rPr>
        <w:t xml:space="preserve">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w:t>
      </w:r>
      <w:r w:rsidR="00AD66FE" w:rsidRPr="00AD66FE">
        <w:rPr>
          <w:rFonts w:eastAsia="Times New Roman"/>
          <w:b/>
          <w:lang w:eastAsia="ru-RU"/>
        </w:rPr>
        <w:lastRenderedPageBreak/>
        <w:t xml:space="preserve">работ по сохранению объекта культурного наследия (ремонт и реставрация фасада) жилого дома № </w:t>
      </w:r>
      <w:r w:rsidR="002C509B">
        <w:rPr>
          <w:rFonts w:eastAsia="Times New Roman"/>
          <w:b/>
          <w:lang w:eastAsia="ru-RU"/>
        </w:rPr>
        <w:t>9</w:t>
      </w:r>
      <w:r w:rsidR="00AD66FE" w:rsidRPr="00AD66FE">
        <w:rPr>
          <w:rFonts w:eastAsia="Times New Roman"/>
          <w:b/>
          <w:lang w:eastAsia="ru-RU"/>
        </w:rPr>
        <w:t xml:space="preserve"> по </w:t>
      </w:r>
      <w:r w:rsidR="008F0F48" w:rsidRPr="008F0F48">
        <w:rPr>
          <w:rFonts w:eastAsia="Times New Roman"/>
          <w:b/>
          <w:lang w:eastAsia="ru-RU"/>
        </w:rPr>
        <w:t>ул. Челюскинцев</w:t>
      </w:r>
      <w:r w:rsidR="008F0F48">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3D11A4">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0F48" w:rsidRPr="008F0F48">
        <w:t>ул. Челюскинцев, д. 9</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D13F5">
        <w:rPr>
          <w:rFonts w:eastAsia="Calibri"/>
          <w:lang w:eastAsia="ar-SA"/>
        </w:rPr>
        <w:t>9</w:t>
      </w:r>
      <w:r w:rsidR="00AD66FE" w:rsidRPr="00AD66FE">
        <w:rPr>
          <w:rFonts w:eastAsia="Calibri"/>
          <w:lang w:eastAsia="ar-SA"/>
        </w:rPr>
        <w:t xml:space="preserve"> по </w:t>
      </w:r>
      <w:r w:rsidR="008F0F48" w:rsidRPr="008F0F48">
        <w:rPr>
          <w:rFonts w:eastAsia="Calibri"/>
          <w:lang w:eastAsia="ar-SA"/>
        </w:rPr>
        <w:t>ул. Челюскинцев</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3D11A4">
        <w:rPr>
          <w:rFonts w:eastAsia="Times New Roman"/>
          <w:bCs/>
          <w:lang w:eastAsia="ru-RU"/>
        </w:rPr>
        <w:t xml:space="preserve">85 </w:t>
      </w:r>
      <w:r w:rsidRPr="00AC5F3D">
        <w:rPr>
          <w:rFonts w:eastAsia="Times New Roman"/>
          <w:bCs/>
          <w:lang w:eastAsia="ru-RU"/>
        </w:rPr>
        <w:t>-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3D11A4">
        <w:rPr>
          <w:rFonts w:eastAsia="Times New Roman"/>
          <w:bCs/>
          <w:lang w:eastAsia="ru-RU"/>
        </w:rPr>
        <w:t>9</w:t>
      </w:r>
      <w:r w:rsidRPr="00AC5F3D">
        <w:rPr>
          <w:rFonts w:eastAsia="Times New Roman"/>
          <w:bCs/>
          <w:lang w:eastAsia="ru-RU"/>
        </w:rPr>
        <w:t xml:space="preserve"> </w:t>
      </w:r>
      <w:r w:rsidR="003D11A4">
        <w:rPr>
          <w:rFonts w:eastAsia="Times New Roman"/>
          <w:bCs/>
          <w:lang w:eastAsia="ru-RU"/>
        </w:rPr>
        <w:t>февраля</w:t>
      </w:r>
      <w:r w:rsidRPr="00AC5F3D">
        <w:rPr>
          <w:rFonts w:eastAsia="Times New Roman"/>
          <w:bCs/>
          <w:lang w:eastAsia="ru-RU"/>
        </w:rPr>
        <w:t xml:space="preserve"> 201</w:t>
      </w:r>
      <w:r w:rsidR="003D11A4">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C972C4">
        <w:t>7</w:t>
      </w:r>
      <w:r w:rsidRPr="003513E4">
        <w:t xml:space="preserve">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lastRenderedPageBreak/>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C972C4">
        <w:rPr>
          <w:rFonts w:eastAsia="Times New Roman"/>
          <w:iCs/>
          <w:lang w:eastAsia="ru-RU"/>
        </w:rPr>
        <w:t>16</w:t>
      </w:r>
      <w:r w:rsidR="00482B6E" w:rsidRPr="00E91E04">
        <w:rPr>
          <w:rFonts w:eastAsia="Times New Roman"/>
          <w:iCs/>
          <w:lang w:eastAsia="ru-RU"/>
        </w:rPr>
        <w:t xml:space="preserve"> </w:t>
      </w:r>
      <w:r w:rsidR="00C972C4">
        <w:rPr>
          <w:rFonts w:eastAsia="Times New Roman"/>
          <w:iCs/>
          <w:lang w:eastAsia="ru-RU"/>
        </w:rPr>
        <w:t>мая</w:t>
      </w:r>
      <w:r w:rsidR="002D0B79" w:rsidRPr="00E91E04">
        <w:rPr>
          <w:rFonts w:eastAsia="Times New Roman"/>
          <w:iCs/>
          <w:lang w:eastAsia="ru-RU"/>
        </w:rPr>
        <w:t xml:space="preserve"> 201</w:t>
      </w:r>
      <w:r w:rsidR="00C972C4">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C972C4">
        <w:rPr>
          <w:rFonts w:eastAsia="Times New Roman"/>
          <w:iCs/>
          <w:lang w:eastAsia="ru-RU"/>
        </w:rPr>
        <w:t>23</w:t>
      </w:r>
      <w:r w:rsidR="007C165C" w:rsidRPr="00E91E04">
        <w:rPr>
          <w:rFonts w:eastAsia="Times New Roman"/>
          <w:iCs/>
          <w:lang w:eastAsia="ru-RU"/>
        </w:rPr>
        <w:t xml:space="preserve"> </w:t>
      </w:r>
      <w:r w:rsidR="00C972C4">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lastRenderedPageBreak/>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lastRenderedPageBreak/>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 xml:space="preserve">стоимости, </w:t>
      </w:r>
      <w:r w:rsidRPr="0066245D">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972C4">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C972C4">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C972C4">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C972C4">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8F0F48" w:rsidRPr="008F0F48">
        <w:rPr>
          <w:b/>
        </w:rPr>
        <w:t>ул. Челюскинцев, д. 9</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A00E8">
        <w:rPr>
          <w:b/>
        </w:rPr>
        <w:t>9</w:t>
      </w:r>
      <w:r w:rsidR="008F0F48">
        <w:rPr>
          <w:b/>
        </w:rPr>
        <w:t xml:space="preserve"> по </w:t>
      </w:r>
      <w:r w:rsidR="008F0F48" w:rsidRPr="008F0F48">
        <w:rPr>
          <w:b/>
        </w:rPr>
        <w:t>ул. Челюскинцев, д. 9</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7821C6">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821C6">
              <w:rPr>
                <w:rFonts w:eastAsia="Calibri"/>
                <w:sz w:val="24"/>
                <w:szCs w:val="24"/>
              </w:rPr>
              <w:t>6</w:t>
            </w:r>
            <w:bookmarkStart w:id="1" w:name="_GoBack"/>
            <w:bookmarkEnd w:id="1"/>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7821C6">
              <w:rPr>
                <w:rFonts w:eastAsia="Calibri"/>
                <w:sz w:val="24"/>
                <w:szCs w:val="24"/>
              </w:rPr>
              <w:t>85</w:t>
            </w:r>
            <w:r w:rsidR="00E35315" w:rsidRPr="00E35315">
              <w:rPr>
                <w:rFonts w:eastAsia="Calibri"/>
                <w:sz w:val="24"/>
                <w:szCs w:val="24"/>
              </w:rPr>
              <w:t xml:space="preserve"> - ПП от 2</w:t>
            </w:r>
            <w:r w:rsidR="007821C6">
              <w:rPr>
                <w:rFonts w:eastAsia="Calibri"/>
                <w:sz w:val="24"/>
                <w:szCs w:val="24"/>
              </w:rPr>
              <w:t>9</w:t>
            </w:r>
            <w:r w:rsidR="00E35315" w:rsidRPr="00E35315">
              <w:rPr>
                <w:rFonts w:eastAsia="Calibri"/>
                <w:sz w:val="24"/>
                <w:szCs w:val="24"/>
              </w:rPr>
              <w:t xml:space="preserve"> </w:t>
            </w:r>
            <w:r w:rsidR="007821C6">
              <w:rPr>
                <w:rFonts w:eastAsia="Calibri"/>
                <w:sz w:val="24"/>
                <w:szCs w:val="24"/>
              </w:rPr>
              <w:t>февраля</w:t>
            </w:r>
            <w:r w:rsidR="00E35315" w:rsidRPr="00E35315">
              <w:rPr>
                <w:rFonts w:eastAsia="Calibri"/>
                <w:sz w:val="24"/>
                <w:szCs w:val="24"/>
              </w:rPr>
              <w:t xml:space="preserve"> 201</w:t>
            </w:r>
            <w:r w:rsidR="007821C6">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8F0F48">
            <w:pPr>
              <w:ind w:left="34"/>
              <w:jc w:val="both"/>
              <w:rPr>
                <w:sz w:val="24"/>
                <w:szCs w:val="24"/>
              </w:rPr>
            </w:pPr>
            <w:r w:rsidRPr="006F3981">
              <w:rPr>
                <w:sz w:val="24"/>
                <w:szCs w:val="24"/>
              </w:rPr>
              <w:t xml:space="preserve">город Мурманск, </w:t>
            </w:r>
            <w:r w:rsidR="008F0F48" w:rsidRPr="008F0F48">
              <w:rPr>
                <w:sz w:val="24"/>
                <w:szCs w:val="24"/>
              </w:rPr>
              <w:t>ул. Челюскинцев, д. 9</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C972C4" w:rsidRDefault="00C972C4" w:rsidP="006F3981">
            <w:pPr>
              <w:suppressAutoHyphens/>
              <w:spacing w:after="0" w:line="240" w:lineRule="auto"/>
              <w:jc w:val="both"/>
              <w:rPr>
                <w:rFonts w:eastAsia="Calibri"/>
                <w:sz w:val="24"/>
                <w:szCs w:val="24"/>
                <w:lang w:eastAsia="ar-SA"/>
              </w:rPr>
            </w:pPr>
            <w:r w:rsidRPr="00C972C4">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8F0F48">
              <w:rPr>
                <w:rFonts w:eastAsia="Calibri"/>
                <w:sz w:val="24"/>
                <w:szCs w:val="24"/>
                <w:lang w:eastAsia="ar-SA"/>
              </w:rPr>
              <w:t>35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8F0F48">
              <w:rPr>
                <w:rFonts w:eastAsia="Calibri"/>
                <w:sz w:val="24"/>
                <w:szCs w:val="24"/>
                <w:lang w:eastAsia="ar-SA"/>
              </w:rPr>
              <w:t>80</w:t>
            </w:r>
            <w:r w:rsidRPr="006F3981">
              <w:rPr>
                <w:rFonts w:eastAsia="Calibri"/>
                <w:sz w:val="24"/>
                <w:szCs w:val="24"/>
                <w:lang w:eastAsia="ar-SA"/>
              </w:rPr>
              <w:t xml:space="preserve"> </w:t>
            </w:r>
            <w:r w:rsidR="008F0F48">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w:t>
            </w:r>
            <w:r w:rsidR="008F4FCF" w:rsidRPr="008F4FCF">
              <w:rPr>
                <w:rFonts w:eastAsia="Calibri"/>
                <w:sz w:val="24"/>
                <w:szCs w:val="24"/>
                <w:lang w:eastAsia="ar-SA"/>
              </w:rPr>
              <w:lastRenderedPageBreak/>
              <w:t>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lastRenderedPageBreak/>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12BC5">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г. Мурманск,</w:t>
      </w:r>
      <w:r w:rsidR="008F0F48" w:rsidRPr="008F0F48">
        <w:t xml:space="preserve"> </w:t>
      </w:r>
      <w:r w:rsidR="008F0F48" w:rsidRPr="008F0F48">
        <w:rPr>
          <w:rFonts w:eastAsia="Calibri"/>
          <w:b/>
          <w:lang w:eastAsia="ar-SA"/>
        </w:rPr>
        <w:t>ул. Челюскинцев, д. 9</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жилого дома № 9</w:t>
      </w:r>
      <w:r w:rsidR="0074188B" w:rsidRPr="00337301">
        <w:rPr>
          <w:b/>
        </w:rPr>
        <w:t xml:space="preserve"> по </w:t>
      </w:r>
      <w:r w:rsidR="008F0F48" w:rsidRPr="008F0F48">
        <w:rPr>
          <w:b/>
        </w:rPr>
        <w:t>ул. Челюскинцев</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D12BC5">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D12BC5">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711EBA" w:rsidRPr="00694718" w:rsidTr="00D12BC5">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D12BC5"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711EBA" w:rsidRDefault="00D12BC5"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18" w:type="dxa"/>
            <w:tcBorders>
              <w:top w:val="single" w:sz="4" w:space="0" w:color="auto"/>
              <w:left w:val="single" w:sz="4" w:space="0" w:color="auto"/>
              <w:bottom w:val="single" w:sz="4" w:space="0" w:color="auto"/>
              <w:right w:val="single" w:sz="4" w:space="0" w:color="auto"/>
            </w:tcBorders>
          </w:tcPr>
          <w:p w:rsidR="00711EBA" w:rsidRDefault="00D12BC5"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1" w:type="dxa"/>
            <w:tcBorders>
              <w:top w:val="single" w:sz="4" w:space="0" w:color="auto"/>
              <w:left w:val="single" w:sz="4" w:space="0" w:color="auto"/>
              <w:bottom w:val="single" w:sz="4" w:space="0" w:color="auto"/>
              <w:right w:val="single" w:sz="4" w:space="0" w:color="auto"/>
            </w:tcBorders>
          </w:tcPr>
          <w:p w:rsidR="00711EBA" w:rsidRDefault="00D12BC5"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711EBA" w:rsidRDefault="00D12BC5" w:rsidP="005365A7">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D12BC5">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D12BC5">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D12BC5">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7E" w:rsidRDefault="005E187E">
      <w:pPr>
        <w:spacing w:after="0" w:line="240" w:lineRule="auto"/>
      </w:pPr>
      <w:r>
        <w:separator/>
      </w:r>
    </w:p>
  </w:endnote>
  <w:endnote w:type="continuationSeparator" w:id="0">
    <w:p w:rsidR="005E187E" w:rsidRDefault="005E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Pr="00F320A5" w:rsidRDefault="00DF455E" w:rsidP="00E00564">
    <w:pPr>
      <w:pStyle w:val="af2"/>
      <w:ind w:right="360" w:firstLine="360"/>
      <w:jc w:val="center"/>
      <w:rPr>
        <w:sz w:val="18"/>
        <w:szCs w:val="18"/>
      </w:rPr>
    </w:pPr>
  </w:p>
  <w:p w:rsidR="00DF455E" w:rsidRDefault="00DF455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Default="00DF455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p>
  <w:p w:rsidR="00DF455E" w:rsidRDefault="00DF455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7E" w:rsidRDefault="005E187E">
      <w:pPr>
        <w:spacing w:after="0" w:line="240" w:lineRule="auto"/>
      </w:pPr>
      <w:r>
        <w:separator/>
      </w:r>
    </w:p>
  </w:footnote>
  <w:footnote w:type="continuationSeparator" w:id="0">
    <w:p w:rsidR="005E187E" w:rsidRDefault="005E1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227F"/>
    <w:rsid w:val="000575D5"/>
    <w:rsid w:val="00057603"/>
    <w:rsid w:val="00070843"/>
    <w:rsid w:val="000724A4"/>
    <w:rsid w:val="00074F4A"/>
    <w:rsid w:val="0007568D"/>
    <w:rsid w:val="00083D57"/>
    <w:rsid w:val="00091016"/>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3293"/>
    <w:rsid w:val="0022503C"/>
    <w:rsid w:val="00231C8E"/>
    <w:rsid w:val="00235A21"/>
    <w:rsid w:val="00237F52"/>
    <w:rsid w:val="00240653"/>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25FA"/>
    <w:rsid w:val="00346542"/>
    <w:rsid w:val="003513E4"/>
    <w:rsid w:val="00351C4B"/>
    <w:rsid w:val="0035219E"/>
    <w:rsid w:val="00353BAC"/>
    <w:rsid w:val="00354913"/>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D11A4"/>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187E"/>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21C6"/>
    <w:rsid w:val="00785BB6"/>
    <w:rsid w:val="00794747"/>
    <w:rsid w:val="00794958"/>
    <w:rsid w:val="007973D8"/>
    <w:rsid w:val="00797D28"/>
    <w:rsid w:val="007A5FF2"/>
    <w:rsid w:val="007B0860"/>
    <w:rsid w:val="007B2575"/>
    <w:rsid w:val="007B32B8"/>
    <w:rsid w:val="007B5602"/>
    <w:rsid w:val="007C165C"/>
    <w:rsid w:val="007C617A"/>
    <w:rsid w:val="007D0BAD"/>
    <w:rsid w:val="007D504D"/>
    <w:rsid w:val="007D5055"/>
    <w:rsid w:val="007E4B19"/>
    <w:rsid w:val="007E5587"/>
    <w:rsid w:val="007E5779"/>
    <w:rsid w:val="007E7373"/>
    <w:rsid w:val="007F6FED"/>
    <w:rsid w:val="00812F6D"/>
    <w:rsid w:val="0081301F"/>
    <w:rsid w:val="0081459E"/>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5597"/>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0F48"/>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53D0F"/>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4A5"/>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57B94"/>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0E58"/>
    <w:rsid w:val="00C61107"/>
    <w:rsid w:val="00C732B7"/>
    <w:rsid w:val="00C73726"/>
    <w:rsid w:val="00C73DD4"/>
    <w:rsid w:val="00C77A06"/>
    <w:rsid w:val="00C841AD"/>
    <w:rsid w:val="00C9011C"/>
    <w:rsid w:val="00C94798"/>
    <w:rsid w:val="00C972C4"/>
    <w:rsid w:val="00CA1FDE"/>
    <w:rsid w:val="00CA5A89"/>
    <w:rsid w:val="00CA62D1"/>
    <w:rsid w:val="00CB09F1"/>
    <w:rsid w:val="00CC2AAF"/>
    <w:rsid w:val="00CC4059"/>
    <w:rsid w:val="00CC5E5A"/>
    <w:rsid w:val="00CD4D0B"/>
    <w:rsid w:val="00CD75C4"/>
    <w:rsid w:val="00CE13E6"/>
    <w:rsid w:val="00CF56CE"/>
    <w:rsid w:val="00D03756"/>
    <w:rsid w:val="00D12BC5"/>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51BC"/>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55E"/>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A0F53-224C-4C41-8161-68773B7E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38</Pages>
  <Words>10085</Words>
  <Characters>57486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286</cp:revision>
  <cp:lastPrinted>2015-08-24T12:36:00Z</cp:lastPrinted>
  <dcterms:created xsi:type="dcterms:W3CDTF">2014-10-08T05:45:00Z</dcterms:created>
  <dcterms:modified xsi:type="dcterms:W3CDTF">2016-03-24T06:34:00Z</dcterms:modified>
</cp:coreProperties>
</file>