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E53302">
        <w:rPr>
          <w:rFonts w:eastAsia="Calibri"/>
          <w:b/>
          <w:bCs/>
          <w:kern w:val="32"/>
          <w:lang w:eastAsia="ru-RU"/>
        </w:rPr>
        <w:t>27</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1.2. Максимальная цена лота составляет – </w:t>
      </w:r>
      <w:r w:rsidR="00E53302" w:rsidRPr="00E53302">
        <w:rPr>
          <w:rFonts w:ascii="Times New Roman" w:eastAsia="Times New Roman" w:hAnsi="Times New Roman"/>
          <w:sz w:val="28"/>
          <w:szCs w:val="28"/>
        </w:rPr>
        <w:t>2 791 067,92</w:t>
      </w:r>
      <w:r w:rsidR="00E53302" w:rsidRPr="00E53302">
        <w:rPr>
          <w:rFonts w:ascii="Calibri" w:eastAsia="Times New Roman" w:hAnsi="Calibri"/>
          <w:color w:val="000000"/>
          <w:sz w:val="22"/>
          <w:szCs w:val="22"/>
        </w:rPr>
        <w:t xml:space="preserve"> </w:t>
      </w:r>
      <w:r w:rsidR="001D00B3" w:rsidRPr="00CA1A1C">
        <w:rPr>
          <w:rFonts w:ascii="Times New Roman" w:eastAsia="Times New Roman" w:hAnsi="Times New Roman"/>
          <w:sz w:val="28"/>
          <w:szCs w:val="28"/>
        </w:rPr>
        <w:t>(</w:t>
      </w:r>
      <w:r w:rsidR="00E53302">
        <w:rPr>
          <w:rFonts w:ascii="Times New Roman" w:eastAsia="Times New Roman" w:hAnsi="Times New Roman"/>
          <w:sz w:val="28"/>
          <w:szCs w:val="28"/>
        </w:rPr>
        <w:t>два миллиона семьсот девяносто одна тысяча шестьдесят семь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E53302">
        <w:rPr>
          <w:rFonts w:ascii="Times New Roman" w:eastAsia="Times New Roman" w:hAnsi="Times New Roman"/>
          <w:sz w:val="28"/>
          <w:szCs w:val="28"/>
        </w:rPr>
        <w:t>9</w:t>
      </w:r>
      <w:r w:rsidR="00CA1A1C" w:rsidRPr="00CA1A1C">
        <w:rPr>
          <w:rFonts w:ascii="Times New Roman" w:eastAsia="Times New Roman" w:hAnsi="Times New Roman"/>
          <w:sz w:val="28"/>
          <w:szCs w:val="28"/>
        </w:rPr>
        <w:t>2</w:t>
      </w:r>
      <w:r w:rsidR="001D00B3" w:rsidRPr="00CA1A1C">
        <w:rPr>
          <w:rFonts w:ascii="Times New Roman" w:eastAsia="Times New Roman" w:hAnsi="Times New Roman"/>
          <w:sz w:val="28"/>
          <w:szCs w:val="28"/>
        </w:rPr>
        <w:t xml:space="preserve"> копе</w:t>
      </w:r>
      <w:r w:rsidR="007F4272" w:rsidRPr="00CA1A1C">
        <w:rPr>
          <w:rFonts w:ascii="Times New Roman" w:eastAsia="Times New Roman" w:hAnsi="Times New Roman"/>
          <w:sz w:val="28"/>
          <w:szCs w:val="28"/>
        </w:rPr>
        <w:t>йки</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E45F60"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E53302" w:rsidRPr="00E53302"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ХВС – </w:t>
      </w:r>
      <w:r w:rsidR="00E53302" w:rsidRPr="00E53302">
        <w:rPr>
          <w:rFonts w:ascii="Times New Roman" w:eastAsia="Times New Roman" w:hAnsi="Times New Roman"/>
          <w:sz w:val="28"/>
          <w:szCs w:val="28"/>
        </w:rPr>
        <w:t xml:space="preserve">892 054,73   </w:t>
      </w:r>
      <w:r w:rsidRPr="00CA1A1C">
        <w:rPr>
          <w:rFonts w:ascii="Times New Roman" w:eastAsia="Times New Roman" w:hAnsi="Times New Roman"/>
          <w:sz w:val="28"/>
          <w:szCs w:val="28"/>
        </w:rPr>
        <w:t>рублей</w:t>
      </w:r>
      <w:r w:rsidR="00E53302" w:rsidRPr="00E53302">
        <w:rPr>
          <w:rFonts w:ascii="Times New Roman" w:eastAsia="Times New Roman" w:hAnsi="Times New Roman"/>
          <w:sz w:val="28"/>
          <w:szCs w:val="28"/>
        </w:rPr>
        <w:t xml:space="preserve"> </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Водоотведения - </w:t>
      </w:r>
      <w:r w:rsidR="00E53302" w:rsidRPr="00E53302">
        <w:rPr>
          <w:rFonts w:ascii="Times New Roman" w:eastAsia="Times New Roman" w:hAnsi="Times New Roman"/>
          <w:sz w:val="28"/>
          <w:szCs w:val="28"/>
        </w:rPr>
        <w:t xml:space="preserve">1 899 013,19   </w:t>
      </w:r>
      <w:r w:rsidRPr="00CA1A1C">
        <w:rPr>
          <w:rFonts w:ascii="Times New Roman" w:eastAsia="Times New Roman" w:hAnsi="Times New Roman"/>
          <w:sz w:val="28"/>
          <w:szCs w:val="28"/>
        </w:rPr>
        <w:t>рублей</w:t>
      </w:r>
      <w:r>
        <w:rPr>
          <w:rFonts w:ascii="Times New Roman" w:eastAsia="Times New Roman" w:hAnsi="Times New Roman"/>
          <w:sz w:val="28"/>
          <w:szCs w:val="28"/>
        </w:rPr>
        <w:t>.</w:t>
      </w:r>
      <w:r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lastRenderedPageBreak/>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E53302">
        <w:rPr>
          <w:rFonts w:ascii="Times New Roman" w:eastAsia="Times New Roman" w:hAnsi="Times New Roman"/>
          <w:b/>
          <w:sz w:val="28"/>
          <w:szCs w:val="28"/>
        </w:rPr>
        <w:t>27</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E53302">
        <w:rPr>
          <w:rFonts w:ascii="Times New Roman" w:eastAsia="Times New Roman" w:hAnsi="Times New Roman"/>
          <w:sz w:val="28"/>
          <w:szCs w:val="28"/>
        </w:rPr>
        <w:t>27</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E53302">
        <w:rPr>
          <w:rFonts w:eastAsia="Times New Roman"/>
          <w:b/>
          <w:lang w:eastAsia="ru-RU"/>
        </w:rPr>
        <w:t>27</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466EB8" w:rsidRDefault="00466EB8" w:rsidP="00466EB8">
      <w:pPr>
        <w:widowControl w:val="0"/>
        <w:suppressAutoHyphens/>
        <w:spacing w:after="0" w:line="240" w:lineRule="auto"/>
        <w:ind w:firstLine="708"/>
        <w:jc w:val="both"/>
        <w:rPr>
          <w:rFonts w:eastAsia="Calibri"/>
          <w:lang w:eastAsia="ar-SA"/>
        </w:rPr>
      </w:pPr>
      <w:bookmarkStart w:id="0" w:name="_GoBack"/>
      <w:r>
        <w:rPr>
          <w:rFonts w:eastAsia="Calibri"/>
          <w:lang w:eastAsia="ar-SA"/>
        </w:rPr>
        <w:t xml:space="preserve">Систем </w:t>
      </w:r>
      <w:r>
        <w:rPr>
          <w:rFonts w:eastAsia="Calibri"/>
          <w:lang w:eastAsia="ar-SA"/>
        </w:rPr>
        <w:t>Г</w:t>
      </w:r>
      <w:r>
        <w:rPr>
          <w:rFonts w:eastAsia="Calibri"/>
          <w:lang w:eastAsia="ar-SA"/>
        </w:rPr>
        <w:t>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bookmarkEnd w:id="0"/>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852" w:rsidRDefault="00244852">
      <w:pPr>
        <w:spacing w:after="0" w:line="240" w:lineRule="auto"/>
      </w:pPr>
      <w:r>
        <w:separator/>
      </w:r>
    </w:p>
  </w:endnote>
  <w:endnote w:type="continuationSeparator" w:id="0">
    <w:p w:rsidR="00244852" w:rsidRDefault="0024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852" w:rsidRDefault="00244852">
      <w:pPr>
        <w:spacing w:after="0" w:line="240" w:lineRule="auto"/>
      </w:pPr>
      <w:r>
        <w:separator/>
      </w:r>
    </w:p>
  </w:footnote>
  <w:footnote w:type="continuationSeparator" w:id="0">
    <w:p w:rsidR="00244852" w:rsidRDefault="0024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8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66EB8"/>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CADD-53F8-4DFE-9B7C-5D1503BE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7457</Words>
  <Characters>42507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29</cp:revision>
  <cp:lastPrinted>2016-08-22T09:47:00Z</cp:lastPrinted>
  <dcterms:created xsi:type="dcterms:W3CDTF">2015-09-15T07:11:00Z</dcterms:created>
  <dcterms:modified xsi:type="dcterms:W3CDTF">2016-08-23T15:04:00Z</dcterms:modified>
</cp:coreProperties>
</file>