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9EB">
        <w:rPr>
          <w:rFonts w:eastAsia="Calibri"/>
          <w:b/>
          <w:bCs/>
          <w:kern w:val="32"/>
          <w:lang w:eastAsia="ru-RU"/>
        </w:rPr>
        <w:t>ЧЕЛЮСКИНЦЕВ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29562A">
        <w:rPr>
          <w:rFonts w:eastAsia="Calibri"/>
          <w:b/>
          <w:bCs/>
          <w:kern w:val="32"/>
          <w:lang w:eastAsia="ru-RU"/>
        </w:rPr>
        <w:t>25</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9EB">
        <w:t>Челюскинцев</w:t>
      </w:r>
      <w:r w:rsidR="001A1A9C" w:rsidRPr="006E51C0">
        <w:t xml:space="preserve">, д. </w:t>
      </w:r>
      <w:r w:rsidR="0029562A">
        <w:t>25</w:t>
      </w:r>
      <w:r w:rsidR="00D945D9" w:rsidRPr="006E51C0">
        <w:t>»</w:t>
      </w:r>
      <w:r w:rsidR="00336CBB" w:rsidRPr="006E51C0">
        <w:rPr>
          <w:rFonts w:eastAsia="Calibri"/>
          <w:lang w:eastAsia="ar-SA"/>
        </w:rPr>
        <w:t>;</w:t>
      </w:r>
    </w:p>
    <w:p w:rsidR="00DF7531" w:rsidRPr="006E51C0" w:rsidRDefault="000724A4" w:rsidP="00885D9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29562A" w:rsidRPr="0029562A">
        <w:rPr>
          <w:rFonts w:eastAsia="Calibri"/>
          <w:lang w:eastAsia="ar-SA"/>
        </w:rPr>
        <w:t>577 992,68 (пятьсот семьдесят семь тысяч девятьсот девяносто два) рубля 68 копеек</w:t>
      </w:r>
      <w:r w:rsidR="0029562A">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8E7386">
        <w:rPr>
          <w:rFonts w:ascii="Times New Roman" w:hAnsi="Times New Roman"/>
          <w:sz w:val="28"/>
          <w:szCs w:val="28"/>
          <w:lang w:eastAsia="ar-SA"/>
        </w:rPr>
        <w:t xml:space="preserve"> 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885D90">
        <w:rPr>
          <w:rFonts w:eastAsia="Calibri"/>
          <w:lang w:eastAsia="ar-SA"/>
        </w:rPr>
        <w:t>1</w:t>
      </w:r>
      <w:r w:rsidR="008E7386" w:rsidRPr="008E7386">
        <w:rPr>
          <w:rFonts w:eastAsia="Calibri"/>
          <w:lang w:eastAsia="ar-SA"/>
        </w:rPr>
        <w:t>1</w:t>
      </w:r>
      <w:r w:rsidR="008E7386">
        <w:rPr>
          <w:rFonts w:eastAsia="Calibri"/>
          <w:lang w:eastAsia="ar-SA"/>
        </w:rPr>
        <w:t xml:space="preserve"> июля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885D90">
        <w:rPr>
          <w:rFonts w:eastAsia="Calibri"/>
          <w:lang w:eastAsia="ar-SA"/>
        </w:rPr>
        <w:t>1</w:t>
      </w:r>
      <w:r w:rsidR="008E7386">
        <w:rPr>
          <w:rFonts w:eastAsia="Calibri"/>
          <w:lang w:eastAsia="ar-SA"/>
        </w:rPr>
        <w:t>0</w:t>
      </w:r>
      <w:r w:rsidR="001249EE" w:rsidRPr="006E51C0">
        <w:rPr>
          <w:rFonts w:eastAsia="Calibri"/>
          <w:lang w:eastAsia="ar-SA"/>
        </w:rPr>
        <w:t xml:space="preserve"> </w:t>
      </w:r>
      <w:r w:rsidR="008E7386">
        <w:rPr>
          <w:rFonts w:eastAsia="Calibri"/>
          <w:lang w:eastAsia="ar-SA"/>
        </w:rPr>
        <w:t>августа</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9EB">
        <w:rPr>
          <w:b/>
        </w:rPr>
        <w:t>Челюскинцев</w:t>
      </w:r>
      <w:r w:rsidR="008335D1" w:rsidRPr="006E51C0">
        <w:rPr>
          <w:b/>
        </w:rPr>
        <w:t xml:space="preserve">, д. </w:t>
      </w:r>
      <w:r w:rsidR="0029562A">
        <w:rPr>
          <w:b/>
        </w:rPr>
        <w:t>25</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885D90">
        <w:rPr>
          <w:b/>
        </w:rPr>
        <w:t>1</w:t>
      </w:r>
      <w:r w:rsidR="00106649">
        <w:rPr>
          <w:b/>
        </w:rPr>
        <w:t>1</w:t>
      </w:r>
      <w:r w:rsidRPr="00302F05">
        <w:rPr>
          <w:b/>
        </w:rPr>
        <w:t xml:space="preserve"> </w:t>
      </w:r>
      <w:r w:rsidR="00106649">
        <w:rPr>
          <w:b/>
        </w:rPr>
        <w:t>августа</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286C0E">
        <w:rPr>
          <w:rFonts w:eastAsia="Calibri"/>
          <w:color w:val="000000"/>
          <w:lang w:eastAsia="ar-SA"/>
        </w:rPr>
        <w:t>1</w:t>
      </w:r>
      <w:r w:rsidR="00106649">
        <w:rPr>
          <w:rFonts w:eastAsia="Calibri"/>
          <w:color w:val="000000"/>
          <w:lang w:eastAsia="ar-SA"/>
        </w:rPr>
        <w:t>1</w:t>
      </w:r>
      <w:r w:rsidR="001249EE" w:rsidRPr="006E51C0">
        <w:rPr>
          <w:rFonts w:eastAsia="Calibri"/>
          <w:color w:val="000000"/>
          <w:lang w:eastAsia="ar-SA"/>
        </w:rPr>
        <w:t xml:space="preserve"> </w:t>
      </w:r>
      <w:r w:rsidR="00106649">
        <w:rPr>
          <w:rFonts w:eastAsia="Calibri"/>
          <w:color w:val="000000"/>
          <w:lang w:eastAsia="ar-SA"/>
        </w:rPr>
        <w:t>августа</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B3673D" w:rsidRPr="00B3673D">
        <w:rPr>
          <w:rFonts w:eastAsia="Calibri"/>
          <w:lang w:eastAsia="ar-SA"/>
        </w:rPr>
        <w:t>20 (двадцати)</w:t>
      </w:r>
      <w:r w:rsidR="00B3673D">
        <w:rPr>
          <w:rFonts w:eastAsia="Calibri"/>
          <w:lang w:eastAsia="ar-SA"/>
        </w:rPr>
        <w:t xml:space="preserve"> </w:t>
      </w:r>
      <w:r w:rsidRPr="006E51C0">
        <w:rPr>
          <w:rFonts w:eastAsia="Calibri"/>
          <w:lang w:eastAsia="ar-SA"/>
        </w:rPr>
        <w:t xml:space="preserve">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9EB">
        <w:rPr>
          <w:rFonts w:eastAsia="Calibri"/>
          <w:lang w:eastAsia="ar-SA"/>
        </w:rPr>
        <w:t>Челюскинцев</w:t>
      </w:r>
      <w:r w:rsidR="00273EDE" w:rsidRPr="006E51C0">
        <w:rPr>
          <w:rFonts w:eastAsia="Calibri"/>
          <w:lang w:eastAsia="ar-SA"/>
        </w:rPr>
        <w:t xml:space="preserve">, д. </w:t>
      </w:r>
      <w:r w:rsidR="0029562A">
        <w:rPr>
          <w:rFonts w:eastAsia="Calibri"/>
          <w:lang w:eastAsia="ar-SA"/>
        </w:rPr>
        <w:t>25</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9EB">
        <w:rPr>
          <w:b/>
        </w:rPr>
        <w:t>Челюскинцев</w:t>
      </w:r>
      <w:r w:rsidR="00F33133" w:rsidRPr="006E51C0">
        <w:rPr>
          <w:b/>
        </w:rPr>
        <w:t xml:space="preserve">, д. </w:t>
      </w:r>
      <w:r w:rsidR="0029562A">
        <w:rPr>
          <w:b/>
        </w:rPr>
        <w:t>25</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9EB">
        <w:t>Челюскинцев</w:t>
      </w:r>
      <w:r w:rsidR="00F33133" w:rsidRPr="006E51C0">
        <w:t xml:space="preserve">, д. </w:t>
      </w:r>
      <w:r w:rsidR="0029562A">
        <w:t>25</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9EB">
        <w:t>Челюскинцев</w:t>
      </w:r>
      <w:r w:rsidR="00273EDE" w:rsidRPr="006E51C0">
        <w:t xml:space="preserve">, д. </w:t>
      </w:r>
      <w:r w:rsidR="0029562A">
        <w:t>25</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29562A">
        <w:rPr>
          <w:rFonts w:eastAsia="Times New Roman"/>
          <w:b/>
          <w:lang w:eastAsia="ru-RU"/>
        </w:rPr>
        <w:t>25</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9EB">
        <w:rPr>
          <w:rFonts w:eastAsia="Times New Roman"/>
          <w:b/>
          <w:lang w:eastAsia="ru-RU"/>
        </w:rPr>
        <w:t>Челюскинцев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9EB">
        <w:t>Челюскинцев</w:t>
      </w:r>
      <w:r w:rsidR="00E3435D" w:rsidRPr="006E51C0">
        <w:t xml:space="preserve">, д. </w:t>
      </w:r>
      <w:r w:rsidR="0029562A">
        <w:t>25</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__</w:t>
      </w:r>
      <w:r w:rsidR="00CF56CE" w:rsidRPr="006E51C0">
        <w:rPr>
          <w:rFonts w:eastAsia="Times New Roman"/>
          <w:bCs/>
          <w:lang w:eastAsia="ru-RU"/>
        </w:rPr>
        <w:t xml:space="preserve">  (</w:t>
      </w:r>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106649">
        <w:rPr>
          <w:rFonts w:eastAsia="Times New Roman"/>
          <w:lang w:eastAsia="ru-RU"/>
        </w:rPr>
        <w:t xml:space="preserve">от 01.06.2016 </w:t>
      </w:r>
      <w:r w:rsidRPr="006E51C0">
        <w:rPr>
          <w:rFonts w:eastAsia="Times New Roman"/>
          <w:lang w:eastAsia="ru-RU"/>
        </w:rPr>
        <w:t xml:space="preserve">№ </w:t>
      </w:r>
      <w:r w:rsidR="00106649">
        <w:rPr>
          <w:rFonts w:eastAsia="Times New Roman"/>
          <w:lang w:eastAsia="ru-RU"/>
        </w:rPr>
        <w:t>262</w:t>
      </w:r>
      <w:r w:rsidRPr="006E51C0">
        <w:rPr>
          <w:rFonts w:eastAsia="Times New Roman"/>
          <w:lang w:eastAsia="ru-RU"/>
        </w:rPr>
        <w:t xml:space="preserve"> </w:t>
      </w:r>
      <w:r w:rsidR="00106649">
        <w:rPr>
          <w:rFonts w:eastAsia="Times New Roman"/>
          <w:lang w:eastAsia="ru-RU"/>
        </w:rPr>
        <w:t>–</w:t>
      </w:r>
      <w:r w:rsidRPr="006E51C0">
        <w:rPr>
          <w:rFonts w:eastAsia="Times New Roman"/>
          <w:lang w:eastAsia="ru-RU"/>
        </w:rPr>
        <w:t xml:space="preserve"> ПП</w:t>
      </w:r>
      <w:r w:rsidR="00106649">
        <w:rPr>
          <w:rFonts w:eastAsia="Times New Roman"/>
          <w:lang w:eastAsia="ru-RU"/>
        </w:rPr>
        <w:t>.</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5410A4">
        <w:t>1</w:t>
      </w:r>
      <w:r>
        <w:t xml:space="preserve"> </w:t>
      </w:r>
      <w:r w:rsidR="005410A4">
        <w:t>декабря</w:t>
      </w:r>
      <w: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106649">
        <w:t>05</w:t>
      </w:r>
      <w:r w:rsidR="00482B6E" w:rsidRPr="006E51C0">
        <w:t xml:space="preserve"> </w:t>
      </w:r>
      <w:r w:rsidR="00106649">
        <w:t>сентября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106649">
        <w:t>не позднее 13</w:t>
      </w:r>
      <w:r w:rsidR="007C165C" w:rsidRPr="006E51C0">
        <w:t xml:space="preserve"> </w:t>
      </w:r>
      <w:r w:rsidR="00106649">
        <w:t xml:space="preserve">января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6E51C0">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5410A4" w:rsidRDefault="00162243" w:rsidP="005410A4">
      <w:pPr>
        <w:autoSpaceDE w:val="0"/>
        <w:autoSpaceDN w:val="0"/>
        <w:adjustRightInd w:val="0"/>
        <w:spacing w:after="0"/>
        <w:ind w:firstLine="539"/>
        <w:jc w:val="both"/>
      </w:pPr>
      <w:r w:rsidRPr="006E51C0">
        <w:t>6.1.1.</w:t>
      </w:r>
      <w:r w:rsidRPr="006E51C0">
        <w:tab/>
      </w:r>
      <w:r w:rsidR="005410A4">
        <w:t>Принять от Заказчика по акту объект для производства работ.</w:t>
      </w:r>
    </w:p>
    <w:p w:rsidR="00162243" w:rsidRPr="006E51C0" w:rsidRDefault="005410A4" w:rsidP="005410A4">
      <w:pPr>
        <w:autoSpaceDE w:val="0"/>
        <w:autoSpaceDN w:val="0"/>
        <w:adjustRightInd w:val="0"/>
        <w:spacing w:after="0"/>
        <w:ind w:firstLine="539"/>
        <w:jc w:val="both"/>
      </w:pPr>
      <w:r>
        <w:t xml:space="preserve">Получить в администрации муниципального образования разрешение на производство работ.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w:t>
      </w:r>
      <w:r w:rsidRPr="006E51C0">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w:t>
      </w:r>
      <w:r w:rsidR="0023145E">
        <w:t xml:space="preserve">4 </w:t>
      </w:r>
      <w:r w:rsidRPr="006E51C0">
        <w:t>комплект</w:t>
      </w:r>
      <w:r w:rsidR="0023145E">
        <w:t>а</w:t>
      </w:r>
      <w:r w:rsidRPr="006E51C0">
        <w:t xml:space="preserve">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06761D">
        <w:t xml:space="preserve"> за 10 рабочих дней до даты начала работы приёмочной комиссии</w:t>
      </w:r>
      <w:r w:rsidRPr="006E51C0">
        <w:t>.</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w:t>
      </w:r>
      <w:r w:rsidR="00965B40">
        <w:t xml:space="preserve">е работ по капитальному ремонту </w:t>
      </w:r>
      <w:bookmarkStart w:id="1" w:name="_GoBack"/>
      <w:bookmarkEnd w:id="1"/>
      <w:r w:rsidR="00CE6908" w:rsidRPr="00CE6908">
        <w:t>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w:t>
      </w:r>
      <w:r w:rsidRPr="006E51C0">
        <w:rPr>
          <w:rFonts w:eastAsia="Times New Roman"/>
          <w:lang w:eastAsia="ru-RU"/>
        </w:rPr>
        <w:lastRenderedPageBreak/>
        <w:t>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Pr="006E51C0">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E51C0">
        <w:rPr>
          <w:rFonts w:eastAsia="Times New Roman"/>
          <w:color w:val="000000"/>
          <w:lang w:eastAsia="ru-RU"/>
        </w:rPr>
        <w:lastRenderedPageBreak/>
        <w:t>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9EB">
        <w:rPr>
          <w:b/>
        </w:rPr>
        <w:t>Челюскинцев</w:t>
      </w:r>
      <w:r w:rsidR="006B1631" w:rsidRPr="006E51C0">
        <w:rPr>
          <w:b/>
        </w:rPr>
        <w:t xml:space="preserve">, д. </w:t>
      </w:r>
      <w:r w:rsidR="0029562A">
        <w:rPr>
          <w:b/>
        </w:rPr>
        <w:t>25</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B331B9">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14861">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B331B9" w:rsidRPr="00B331B9">
              <w:rPr>
                <w:rFonts w:eastAsia="Calibri"/>
                <w:sz w:val="24"/>
                <w:szCs w:val="24"/>
              </w:rPr>
              <w:t>от 01.06.2016 № 262 – ПП.</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29562A">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9EB">
              <w:rPr>
                <w:sz w:val="24"/>
                <w:szCs w:val="24"/>
              </w:rPr>
              <w:t>Челюскинцев</w:t>
            </w:r>
            <w:r w:rsidR="006B1631" w:rsidRPr="006E51C0">
              <w:rPr>
                <w:sz w:val="24"/>
                <w:szCs w:val="24"/>
              </w:rPr>
              <w:t xml:space="preserve">, дом № </w:t>
            </w:r>
            <w:r w:rsidR="0029562A">
              <w:rPr>
                <w:sz w:val="24"/>
                <w:szCs w:val="24"/>
              </w:rPr>
              <w:t>25</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Количество этажей -  2.</w:t>
            </w:r>
          </w:p>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Количество подъездов – 3.</w:t>
            </w:r>
          </w:p>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Год постройки – 1950.</w:t>
            </w:r>
          </w:p>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Период эксплуатации здания - 65 лет.</w:t>
            </w:r>
          </w:p>
          <w:p w:rsidR="006F3981" w:rsidRPr="006E51C0"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Фасад- оштукатуренный, окрашенный, площадь фасада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2239EB">
              <w:rPr>
                <w:rFonts w:eastAsia="Calibri"/>
                <w:sz w:val="24"/>
                <w:szCs w:val="24"/>
                <w:lang w:eastAsia="ar-SA"/>
              </w:rPr>
              <w:t>Челюскинцев</w:t>
            </w:r>
            <w:r w:rsidRPr="006E51C0">
              <w:rPr>
                <w:rFonts w:eastAsia="Calibri"/>
                <w:sz w:val="24"/>
                <w:szCs w:val="24"/>
                <w:lang w:eastAsia="ar-SA"/>
              </w:rPr>
              <w:t>, д.</w:t>
            </w:r>
            <w:r w:rsidR="002239EB">
              <w:rPr>
                <w:rFonts w:eastAsia="Calibri"/>
                <w:sz w:val="24"/>
                <w:szCs w:val="24"/>
                <w:lang w:eastAsia="ar-SA"/>
              </w:rPr>
              <w:t xml:space="preserve"> </w:t>
            </w:r>
            <w:r w:rsidR="0029562A">
              <w:rPr>
                <w:rFonts w:eastAsia="Calibri"/>
                <w:sz w:val="24"/>
                <w:szCs w:val="24"/>
                <w:lang w:eastAsia="ar-SA"/>
              </w:rPr>
              <w:t>25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t>15</w:t>
            </w:r>
          </w:p>
        </w:tc>
        <w:tc>
          <w:tcPr>
            <w:tcW w:w="3646" w:type="dxa"/>
            <w:shd w:val="clear" w:color="auto" w:fill="auto"/>
          </w:tcPr>
          <w:p w:rsidR="00C944E3" w:rsidRPr="00286C0E" w:rsidRDefault="00C944E3" w:rsidP="00C944E3">
            <w:pPr>
              <w:tabs>
                <w:tab w:val="left" w:pos="360"/>
              </w:tabs>
              <w:suppressAutoHyphens/>
              <w:ind w:left="33"/>
              <w:rPr>
                <w:sz w:val="24"/>
                <w:szCs w:val="24"/>
              </w:rPr>
            </w:pPr>
            <w:r w:rsidRPr="00286C0E">
              <w:rPr>
                <w:sz w:val="24"/>
                <w:szCs w:val="24"/>
                <w:lang w:eastAsia="ar-SA"/>
              </w:rPr>
              <w:t xml:space="preserve">Требования к </w:t>
            </w:r>
            <w:r w:rsidRPr="00286C0E">
              <w:rPr>
                <w:sz w:val="24"/>
                <w:szCs w:val="24"/>
              </w:rPr>
              <w:t xml:space="preserve">выполнению </w:t>
            </w:r>
            <w:r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9EB">
        <w:rPr>
          <w:rFonts w:eastAsia="Calibri"/>
          <w:b/>
          <w:lang w:eastAsia="ar-SA"/>
        </w:rPr>
        <w:t>Челюскинцев</w:t>
      </w:r>
      <w:r w:rsidR="00482B6E" w:rsidRPr="006E51C0">
        <w:rPr>
          <w:rFonts w:eastAsia="Calibri"/>
          <w:b/>
          <w:lang w:eastAsia="ar-SA"/>
        </w:rPr>
        <w:t xml:space="preserve">, д. </w:t>
      </w:r>
      <w:r w:rsidR="00420885">
        <w:rPr>
          <w:rFonts w:eastAsia="Calibri"/>
          <w:b/>
          <w:lang w:eastAsia="ar-SA"/>
        </w:rPr>
        <w:t>25</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992"/>
        <w:gridCol w:w="1276"/>
        <w:gridCol w:w="1276"/>
        <w:gridCol w:w="283"/>
      </w:tblGrid>
      <w:tr w:rsidR="00367CA5" w:rsidRPr="006E51C0" w:rsidTr="00B331B9">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199"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p>
        </w:tc>
      </w:tr>
      <w:tr w:rsidR="00367CA5" w:rsidRPr="006E51C0" w:rsidTr="00B331B9">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B331B9"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B331B9"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B331B9"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B331B9"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367CA5" w:rsidRDefault="00B331B9" w:rsidP="00CD4D0B">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283" w:type="dxa"/>
            <w:tcBorders>
              <w:top w:val="single" w:sz="4" w:space="0" w:color="auto"/>
              <w:left w:val="single" w:sz="4" w:space="0" w:color="auto"/>
              <w:bottom w:val="single" w:sz="4" w:space="0" w:color="auto"/>
              <w:right w:val="single" w:sz="4" w:space="0" w:color="auto"/>
            </w:tcBorders>
          </w:tcPr>
          <w:p w:rsidR="00367CA5" w:rsidRDefault="00367CA5" w:rsidP="00CD4D0B">
            <w:pPr>
              <w:suppressAutoHyphens/>
              <w:spacing w:after="0" w:line="240" w:lineRule="auto"/>
              <w:jc w:val="center"/>
              <w:rPr>
                <w:rFonts w:eastAsia="Calibri"/>
                <w:sz w:val="24"/>
                <w:szCs w:val="24"/>
                <w:lang w:eastAsia="ar-SA"/>
              </w:rPr>
            </w:pPr>
          </w:p>
        </w:tc>
      </w:tr>
      <w:tr w:rsidR="00367CA5" w:rsidRPr="006E51C0" w:rsidTr="00B331B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B331B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B331B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307" w:rsidRDefault="00A94307">
      <w:pPr>
        <w:spacing w:after="0" w:line="240" w:lineRule="auto"/>
      </w:pPr>
      <w:r>
        <w:separator/>
      </w:r>
    </w:p>
  </w:endnote>
  <w:endnote w:type="continuationSeparator" w:id="0">
    <w:p w:rsidR="00A94307" w:rsidRDefault="00A9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49" w:rsidRDefault="0010664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06649" w:rsidRPr="00F320A5" w:rsidRDefault="00106649" w:rsidP="00E00564">
    <w:pPr>
      <w:pStyle w:val="af2"/>
      <w:ind w:right="360" w:firstLine="360"/>
      <w:jc w:val="center"/>
      <w:rPr>
        <w:sz w:val="18"/>
        <w:szCs w:val="18"/>
      </w:rPr>
    </w:pPr>
  </w:p>
  <w:p w:rsidR="00106649" w:rsidRDefault="0010664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49" w:rsidRDefault="0010664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06649" w:rsidRDefault="0010664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49" w:rsidRDefault="00106649" w:rsidP="00E00564">
    <w:pPr>
      <w:pStyle w:val="af2"/>
      <w:framePr w:wrap="around" w:vAnchor="text" w:hAnchor="margin" w:xAlign="right" w:y="1"/>
      <w:rPr>
        <w:rStyle w:val="af1"/>
      </w:rPr>
    </w:pPr>
  </w:p>
  <w:p w:rsidR="00106649" w:rsidRDefault="0010664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307" w:rsidRDefault="00A94307">
      <w:pPr>
        <w:spacing w:after="0" w:line="240" w:lineRule="auto"/>
      </w:pPr>
      <w:r>
        <w:separator/>
      </w:r>
    </w:p>
  </w:footnote>
  <w:footnote w:type="continuationSeparator" w:id="0">
    <w:p w:rsidR="00A94307" w:rsidRDefault="00A94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49" w:rsidRPr="000B39A5" w:rsidRDefault="00106649">
    <w:pPr>
      <w:pStyle w:val="af"/>
      <w:jc w:val="center"/>
      <w:rPr>
        <w:sz w:val="18"/>
        <w:szCs w:val="18"/>
      </w:rPr>
    </w:pPr>
  </w:p>
  <w:p w:rsidR="00106649" w:rsidRDefault="0010664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49" w:rsidRPr="000B39A5" w:rsidRDefault="00106649">
    <w:pPr>
      <w:pStyle w:val="af"/>
      <w:jc w:val="center"/>
      <w:rPr>
        <w:sz w:val="18"/>
        <w:szCs w:val="18"/>
      </w:rPr>
    </w:pPr>
  </w:p>
  <w:p w:rsidR="00106649" w:rsidRDefault="0010664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184B"/>
    <w:rsid w:val="00006862"/>
    <w:rsid w:val="000139D6"/>
    <w:rsid w:val="00030CAD"/>
    <w:rsid w:val="000339A0"/>
    <w:rsid w:val="00040095"/>
    <w:rsid w:val="00040D23"/>
    <w:rsid w:val="00046F20"/>
    <w:rsid w:val="00047602"/>
    <w:rsid w:val="000575D5"/>
    <w:rsid w:val="00057603"/>
    <w:rsid w:val="0006761D"/>
    <w:rsid w:val="00070843"/>
    <w:rsid w:val="000724A4"/>
    <w:rsid w:val="00073B9A"/>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06649"/>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3EDB"/>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503C"/>
    <w:rsid w:val="0023145E"/>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0885"/>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10A4"/>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06D96"/>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4861"/>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E7386"/>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65B40"/>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94307"/>
    <w:rsid w:val="00AA0764"/>
    <w:rsid w:val="00AA767A"/>
    <w:rsid w:val="00AA7D0A"/>
    <w:rsid w:val="00AB163B"/>
    <w:rsid w:val="00AC04DE"/>
    <w:rsid w:val="00AC072D"/>
    <w:rsid w:val="00AC0AC5"/>
    <w:rsid w:val="00AC28E4"/>
    <w:rsid w:val="00AC51D0"/>
    <w:rsid w:val="00AC5F3D"/>
    <w:rsid w:val="00AD395E"/>
    <w:rsid w:val="00AD484C"/>
    <w:rsid w:val="00AE497A"/>
    <w:rsid w:val="00AF4475"/>
    <w:rsid w:val="00AF7067"/>
    <w:rsid w:val="00B00B16"/>
    <w:rsid w:val="00B02A51"/>
    <w:rsid w:val="00B1288D"/>
    <w:rsid w:val="00B25EAB"/>
    <w:rsid w:val="00B331B9"/>
    <w:rsid w:val="00B335FD"/>
    <w:rsid w:val="00B3673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7CE9"/>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92DA-09D8-40B5-97A5-BEC732A5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30</Pages>
  <Words>11325</Words>
  <Characters>64557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246</cp:revision>
  <cp:lastPrinted>2015-10-22T13:47:00Z</cp:lastPrinted>
  <dcterms:created xsi:type="dcterms:W3CDTF">2014-10-08T05:45:00Z</dcterms:created>
  <dcterms:modified xsi:type="dcterms:W3CDTF">2016-07-08T08:43:00Z</dcterms:modified>
</cp:coreProperties>
</file>