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r>
              <w:rPr>
                <w:rFonts w:eastAsia="Calibri"/>
                <w:lang w:eastAsia="ar-SA"/>
              </w:rPr>
              <w:t xml:space="preserve">И.о.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C845F5">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C11D6" w:rsidRDefault="008344DB" w:rsidP="008C11D6">
      <w:pPr>
        <w:widowControl w:val="0"/>
        <w:numPr>
          <w:ilvl w:val="0"/>
          <w:numId w:val="4"/>
        </w:numPr>
        <w:tabs>
          <w:tab w:val="left" w:pos="2835"/>
        </w:tabs>
        <w:suppressAutoHyphens/>
        <w:spacing w:after="0" w:line="240" w:lineRule="auto"/>
        <w:jc w:val="center"/>
        <w:rPr>
          <w:rFonts w:eastAsia="Calibri"/>
          <w:b/>
          <w:bCs/>
          <w:kern w:val="32"/>
          <w:lang w:eastAsia="ru-RU"/>
        </w:rPr>
      </w:pPr>
      <w:r w:rsidRPr="008C11D6">
        <w:rPr>
          <w:rFonts w:eastAsia="Calibri"/>
          <w:b/>
          <w:bCs/>
          <w:kern w:val="32"/>
          <w:lang w:eastAsia="ru-RU"/>
        </w:rPr>
        <w:t xml:space="preserve"> «КАПИТАЛЬНЫЙ РЕМОНТ КР</w:t>
      </w:r>
      <w:r w:rsidR="00E32316" w:rsidRPr="008C11D6">
        <w:rPr>
          <w:rFonts w:eastAsia="Calibri"/>
          <w:b/>
          <w:bCs/>
          <w:kern w:val="32"/>
          <w:lang w:eastAsia="ru-RU"/>
        </w:rPr>
        <w:t>ЫШИ</w:t>
      </w:r>
      <w:r w:rsidR="006C208D" w:rsidRPr="008C11D6">
        <w:rPr>
          <w:rFonts w:eastAsia="Calibri"/>
          <w:b/>
          <w:bCs/>
          <w:kern w:val="32"/>
          <w:lang w:eastAsia="ru-RU"/>
        </w:rPr>
        <w:t xml:space="preserve"> МНОГОКВАРТИРНОГО ДОМА</w:t>
      </w:r>
      <w:r w:rsidRPr="008C11D6">
        <w:rPr>
          <w:rFonts w:eastAsia="Calibri"/>
          <w:b/>
          <w:bCs/>
          <w:kern w:val="32"/>
          <w:lang w:eastAsia="ru-RU"/>
        </w:rPr>
        <w:t>, РАСПОЛОЖЕННОГО ПО АДРЕСУ: МУРМАНСКАЯ ОБЛАСТЬ</w:t>
      </w:r>
      <w:r w:rsidR="008C11D6">
        <w:rPr>
          <w:rFonts w:eastAsia="Calibri"/>
          <w:b/>
          <w:bCs/>
          <w:kern w:val="32"/>
          <w:lang w:eastAsia="ru-RU"/>
        </w:rPr>
        <w:t>,</w:t>
      </w:r>
      <w:r w:rsidR="004D35F7" w:rsidRPr="008C11D6">
        <w:rPr>
          <w:rFonts w:eastAsia="Calibri"/>
          <w:b/>
          <w:bCs/>
          <w:kern w:val="32"/>
          <w:lang w:eastAsia="ru-RU"/>
        </w:rPr>
        <w:t xml:space="preserve"> </w:t>
      </w:r>
      <w:r w:rsidR="008C11D6" w:rsidRPr="008C11D6">
        <w:rPr>
          <w:rFonts w:eastAsia="Calibri"/>
          <w:b/>
          <w:bCs/>
          <w:kern w:val="32"/>
          <w:lang w:eastAsia="ru-RU"/>
        </w:rPr>
        <w:t xml:space="preserve">ЗАТО АЛЕКСАНДРОВСК, г. СНЕЖНОГОРСК, </w:t>
      </w:r>
    </w:p>
    <w:p w:rsidR="008344DB" w:rsidRPr="008C11D6" w:rsidRDefault="008C11D6" w:rsidP="008C11D6">
      <w:pPr>
        <w:widowControl w:val="0"/>
        <w:numPr>
          <w:ilvl w:val="0"/>
          <w:numId w:val="4"/>
        </w:numPr>
        <w:tabs>
          <w:tab w:val="left" w:pos="2835"/>
        </w:tabs>
        <w:suppressAutoHyphens/>
        <w:spacing w:after="0" w:line="240" w:lineRule="auto"/>
        <w:jc w:val="center"/>
        <w:rPr>
          <w:rFonts w:eastAsia="Calibri"/>
          <w:b/>
          <w:bCs/>
          <w:kern w:val="32"/>
          <w:lang w:eastAsia="ru-RU"/>
        </w:rPr>
      </w:pPr>
      <w:r w:rsidRPr="008C11D6">
        <w:rPr>
          <w:rFonts w:eastAsia="Calibri"/>
          <w:b/>
          <w:bCs/>
          <w:kern w:val="32"/>
          <w:lang w:eastAsia="ru-RU"/>
        </w:rPr>
        <w:t>ул. ОКТЯБРЬСКАЯ, д.1</w:t>
      </w:r>
      <w:r w:rsidR="00C54717">
        <w:rPr>
          <w:rFonts w:eastAsia="Calibri"/>
          <w:b/>
          <w:bCs/>
          <w:kern w:val="32"/>
          <w:lang w:eastAsia="ru-RU"/>
        </w:rPr>
        <w:t>1</w:t>
      </w:r>
      <w:r w:rsidR="003347F6" w:rsidRPr="008C11D6">
        <w:rPr>
          <w:rFonts w:eastAsia="Calibri"/>
          <w:b/>
          <w:bCs/>
          <w:kern w:val="32"/>
          <w:lang w:eastAsia="ru-RU"/>
        </w:rPr>
        <w:t>»</w:t>
      </w:r>
      <w:r w:rsidR="008344DB" w:rsidRPr="008C11D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8C11D6">
        <w:rPr>
          <w:rFonts w:eastAsia="Calibri"/>
          <w:lang w:eastAsia="ar-SA"/>
        </w:rPr>
        <w:t>ЗАТО Александровск, г. Снежногорск, ул. Октябрьская, д.1</w:t>
      </w:r>
      <w:r w:rsidR="00073633">
        <w:rPr>
          <w:rFonts w:eastAsia="Calibri"/>
          <w:lang w:eastAsia="ar-SA"/>
        </w:rPr>
        <w:t>1</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D80A2C" w:rsidRPr="00D80A2C">
        <w:rPr>
          <w:rFonts w:eastAsia="Calibri"/>
          <w:lang w:eastAsia="ar-SA"/>
        </w:rPr>
        <w:t>1.632.128,</w:t>
      </w:r>
      <w:r w:rsidR="00A837C8">
        <w:rPr>
          <w:rFonts w:eastAsia="Calibri"/>
          <w:lang w:eastAsia="ar-SA"/>
        </w:rPr>
        <w:t>26</w:t>
      </w:r>
      <w:r w:rsidR="00D80A2C" w:rsidRPr="00D80A2C">
        <w:rPr>
          <w:rFonts w:eastAsia="Calibri"/>
          <w:lang w:eastAsia="ar-SA"/>
        </w:rPr>
        <w:t xml:space="preserve"> (Один миллион шестьсот тридцать две тысячи сто двадцать восемь) рублей </w:t>
      </w:r>
      <w:r w:rsidR="00A837C8">
        <w:rPr>
          <w:rFonts w:eastAsia="Calibri"/>
          <w:lang w:eastAsia="ar-SA"/>
        </w:rPr>
        <w:t>26</w:t>
      </w:r>
      <w:r w:rsidR="00D80A2C" w:rsidRPr="00D80A2C">
        <w:rPr>
          <w:rFonts w:eastAsia="Calibri"/>
          <w:lang w:eastAsia="ar-SA"/>
        </w:rPr>
        <w:t xml:space="preserve"> копеек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r w:rsidR="00253606" w:rsidRPr="00EE3388">
        <w:rPr>
          <w:rFonts w:eastAsia="Calibri"/>
          <w:lang w:val="en-US" w:eastAsia="ar-SA"/>
        </w:rPr>
        <w:t>fkrmo</w:t>
      </w:r>
      <w:r w:rsidR="00253606" w:rsidRPr="00EE3388">
        <w:rPr>
          <w:rFonts w:eastAsia="Calibri"/>
          <w:lang w:eastAsia="ar-SA"/>
        </w:rPr>
        <w:t>.</w:t>
      </w:r>
      <w:r w:rsidR="00253606" w:rsidRPr="00EE3388">
        <w:rPr>
          <w:rFonts w:eastAsia="Calibri"/>
          <w:lang w:val="en-US" w:eastAsia="ar-SA"/>
        </w:rPr>
        <w:t>ru</w:t>
      </w:r>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ул. Подстаницкого</w:t>
      </w:r>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F95514">
        <w:rPr>
          <w:rFonts w:eastAsia="Calibri"/>
          <w:lang w:eastAsia="ar-SA"/>
        </w:rPr>
        <w:t>7</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F95514">
        <w:rPr>
          <w:rFonts w:eastAsia="Calibri"/>
          <w:lang w:eastAsia="ar-SA"/>
        </w:rPr>
        <w:t>05</w:t>
      </w:r>
      <w:r w:rsidR="00DA0C11" w:rsidRPr="007E4454">
        <w:rPr>
          <w:rFonts w:eastAsia="Calibri"/>
          <w:lang w:eastAsia="ar-SA"/>
        </w:rPr>
        <w:t>.</w:t>
      </w:r>
      <w:r w:rsidR="001B2593" w:rsidRPr="007E4454">
        <w:rPr>
          <w:rFonts w:eastAsia="Calibri"/>
          <w:lang w:eastAsia="ar-SA"/>
        </w:rPr>
        <w:t>0</w:t>
      </w:r>
      <w:r w:rsidR="00F95514">
        <w:rPr>
          <w:rFonts w:eastAsia="Calibri"/>
          <w:lang w:eastAsia="ar-SA"/>
        </w:rPr>
        <w:t>4</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F95514" w:rsidRPr="00F95514">
        <w:rPr>
          <w:rFonts w:eastAsia="Calibri"/>
          <w:b/>
          <w:lang w:eastAsia="ar-SA"/>
        </w:rPr>
        <w:t>ЗАТО Александровск, г. Снежногорск, ул. Октябрьская, д.1</w:t>
      </w:r>
      <w:r w:rsidR="00073633">
        <w:rPr>
          <w:rFonts w:eastAsia="Calibri"/>
          <w:b/>
          <w:lang w:eastAsia="ar-SA"/>
        </w:rPr>
        <w:t>1</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F95514" w:rsidRPr="00F95514">
        <w:rPr>
          <w:rFonts w:eastAsia="Calibri"/>
          <w:lang w:eastAsia="ar-SA"/>
        </w:rPr>
        <w:t xml:space="preserve">184682, </w:t>
      </w:r>
      <w:r w:rsidR="00F95514">
        <w:rPr>
          <w:rFonts w:eastAsia="Calibri"/>
          <w:lang w:eastAsia="ar-SA"/>
        </w:rPr>
        <w:t xml:space="preserve">Мурманская область, </w:t>
      </w:r>
      <w:r w:rsidR="00F95514" w:rsidRPr="00F95514">
        <w:rPr>
          <w:rFonts w:eastAsia="Calibri"/>
          <w:lang w:eastAsia="ar-SA"/>
        </w:rPr>
        <w:t>ЗАТО Александровск, г. Снежногорск, ул. Флотская, д.5, актовый зал.</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F95514">
        <w:rPr>
          <w:rFonts w:eastAsia="Calibri"/>
          <w:color w:val="000000"/>
          <w:lang w:eastAsia="ar-SA"/>
        </w:rPr>
        <w:t>0</w:t>
      </w:r>
      <w:r w:rsidR="00073633">
        <w:rPr>
          <w:rFonts w:eastAsia="Calibri"/>
          <w:color w:val="000000"/>
          <w:lang w:eastAsia="ar-SA"/>
        </w:rPr>
        <w:t>7</w:t>
      </w:r>
      <w:r w:rsidR="001B2593" w:rsidRPr="007E4454">
        <w:rPr>
          <w:rFonts w:eastAsia="Calibri"/>
          <w:color w:val="000000"/>
          <w:lang w:eastAsia="ar-SA"/>
        </w:rPr>
        <w:t>.0</w:t>
      </w:r>
      <w:r w:rsidR="00F95514">
        <w:rPr>
          <w:rFonts w:eastAsia="Calibri"/>
          <w:color w:val="000000"/>
          <w:lang w:eastAsia="ar-SA"/>
        </w:rPr>
        <w:t>4</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F95514">
        <w:rPr>
          <w:rFonts w:eastAsia="Calibri"/>
          <w:color w:val="000000"/>
          <w:lang w:eastAsia="ar-SA"/>
        </w:rPr>
        <w:t>1</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Применение энергосберегающихтехнологий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w:t>
      </w:r>
      <w:r w:rsidR="00F95514" w:rsidRPr="00F95514">
        <w:rPr>
          <w:rFonts w:eastAsia="Calibri"/>
          <w:lang w:eastAsia="ar-SA"/>
        </w:rPr>
        <w:t>ЗАТО Александровск, г. Снежногорск, ул. Октябрьская, д.1</w:t>
      </w:r>
      <w:r w:rsidR="00BD08BF">
        <w:rPr>
          <w:rFonts w:eastAsia="Calibri"/>
          <w:lang w:eastAsia="ar-SA"/>
        </w:rPr>
        <w:t>1</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F95514" w:rsidRPr="00F95514">
        <w:rPr>
          <w:rFonts w:eastAsia="Times New Roman"/>
          <w:b/>
          <w:color w:val="000000"/>
          <w:sz w:val="28"/>
          <w:szCs w:val="28"/>
          <w:lang w:eastAsia="ru-RU"/>
        </w:rPr>
        <w:t>ЗАТО Александровск, г. Снежногорск, ул. Октябрьская, д.1</w:t>
      </w:r>
      <w:r w:rsidR="00BD08BF">
        <w:rPr>
          <w:rFonts w:eastAsia="Times New Roman"/>
          <w:b/>
          <w:color w:val="000000"/>
          <w:sz w:val="28"/>
          <w:szCs w:val="28"/>
          <w:lang w:eastAsia="ru-RU"/>
        </w:rPr>
        <w:t>1</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F95514" w:rsidRPr="00F95514">
        <w:rPr>
          <w:sz w:val="28"/>
          <w:szCs w:val="28"/>
        </w:rPr>
        <w:t>ЗАТО Александровск, г. Снежногорск, ул. Октябрьская, д.1</w:t>
      </w:r>
      <w:r w:rsidR="00BD08BF">
        <w:rPr>
          <w:sz w:val="28"/>
          <w:szCs w:val="28"/>
        </w:rPr>
        <w:t>1</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F95514" w:rsidRPr="00F95514">
        <w:rPr>
          <w:sz w:val="28"/>
          <w:szCs w:val="28"/>
        </w:rPr>
        <w:t>ЗАТО Александровск, г. Снежногорск, ул. Октябрьская, д.1</w:t>
      </w:r>
      <w:r w:rsidR="00BD08BF">
        <w:rPr>
          <w:sz w:val="28"/>
          <w:szCs w:val="28"/>
        </w:rPr>
        <w:t>1</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CB79CF">
        <w:rPr>
          <w:b/>
          <w:bCs/>
        </w:rPr>
        <w:t>1</w:t>
      </w:r>
      <w:r w:rsidR="00BD08BF">
        <w:rPr>
          <w:b/>
          <w:bCs/>
        </w:rPr>
        <w:t>1</w:t>
      </w:r>
      <w:r w:rsidRPr="00EE3388">
        <w:rPr>
          <w:b/>
          <w:bCs/>
        </w:rPr>
        <w:t xml:space="preserve"> по улице </w:t>
      </w:r>
      <w:r w:rsidR="00F95514">
        <w:rPr>
          <w:b/>
          <w:bCs/>
        </w:rPr>
        <w:t>Октябрьская</w:t>
      </w:r>
      <w:r w:rsidRPr="00EE3388">
        <w:rPr>
          <w:b/>
          <w:bCs/>
        </w:rPr>
        <w:t xml:space="preserve"> в </w:t>
      </w:r>
      <w:r w:rsidR="00F95514">
        <w:rPr>
          <w:b/>
          <w:bCs/>
        </w:rPr>
        <w:t>городе Снежногорск</w:t>
      </w:r>
      <w:r w:rsidRPr="00EE3388">
        <w:rPr>
          <w:b/>
          <w:bCs/>
        </w:rPr>
        <w:t xml:space="preserve">, </w:t>
      </w:r>
      <w:r w:rsidR="00F95514">
        <w:rPr>
          <w:b/>
          <w:bCs/>
        </w:rPr>
        <w:t>ЗАТО Александровск</w:t>
      </w:r>
      <w:r w:rsidRPr="00EE3388">
        <w:rPr>
          <w:b/>
          <w:bCs/>
        </w:rPr>
        <w:t xml:space="preserve">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w:t>
      </w:r>
      <w:r w:rsidR="00F95514" w:rsidRPr="00F95514">
        <w:rPr>
          <w:rFonts w:eastAsia="Calibri"/>
          <w:lang w:eastAsia="ar-SA"/>
        </w:rPr>
        <w:t>ЗАТО Александровск, г. Снежногорск, ул. Октябрьская, д.1</w:t>
      </w:r>
      <w:r w:rsidR="00BD08BF">
        <w:rPr>
          <w:rFonts w:eastAsia="Calibri"/>
          <w:lang w:eastAsia="ar-SA"/>
        </w:rPr>
        <w:t>1</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рублей__коп.,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w:t>
      </w:r>
      <w:r w:rsidRPr="00EE3388">
        <w:rPr>
          <w:rFonts w:eastAsia="Times New Roman"/>
          <w:lang w:eastAsia="ru-RU"/>
        </w:rPr>
        <w:lastRenderedPageBreak/>
        <w:t xml:space="preserve">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lastRenderedPageBreak/>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w:t>
      </w:r>
      <w:r w:rsidRPr="00EE3388">
        <w:rPr>
          <w:rFonts w:eastAsia="Times New Roman"/>
          <w:lang w:eastAsia="ru-RU"/>
        </w:rPr>
        <w:lastRenderedPageBreak/>
        <w:t>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xml:space="preserve">- журнал производства работ, в котором отражается весь ход фактического производства работ, а также все факты и обстоятельства, </w:t>
      </w:r>
      <w:r w:rsidRPr="00EE3388">
        <w:rPr>
          <w:sz w:val="28"/>
          <w:szCs w:val="28"/>
        </w:rPr>
        <w:lastRenderedPageBreak/>
        <w:t>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E05858" w:rsidRPr="00E05858">
        <w:rPr>
          <w:rFonts w:eastAsia="Calibri"/>
          <w:lang w:eastAsia="ar-SA"/>
        </w:rPr>
        <w:t>Минимальная продолжительность срока эксплуатации конструкций крыши и должна соответствовать ВСН 58-88и составлять не менее десяти лет для рулонных кровельных покрытий</w:t>
      </w:r>
      <w:r w:rsidR="0070694D">
        <w:rPr>
          <w:rFonts w:eastAsia="Calibri"/>
          <w:lang w:eastAsia="ar-SA"/>
        </w:rPr>
        <w:t>.</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w:t>
      </w:r>
      <w:r w:rsidRPr="00EE3388">
        <w:rPr>
          <w:rFonts w:eastAsia="Times New Roman"/>
          <w:lang w:eastAsia="ru-RU"/>
        </w:rPr>
        <w:lastRenderedPageBreak/>
        <w:t xml:space="preserve">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г. Мурманск, ул. Подстаницкого, д.1;</w:t>
            </w:r>
            <w:r w:rsidRPr="00EE3388">
              <w:rPr>
                <w:rFonts w:eastAsia="Calibri"/>
                <w:color w:val="000000"/>
                <w:lang w:eastAsia="ar-SA"/>
              </w:rPr>
              <w:t>ИНН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Р/сч 40703810741000081293 в Отделение №8627 Сбербанка России г.Мурманск,</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Кор/сч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И.о.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w:t>
      </w:r>
      <w:r w:rsidR="00797742" w:rsidRPr="00797742">
        <w:rPr>
          <w:rFonts w:eastAsia="Calibri"/>
          <w:lang w:eastAsia="ar-SA"/>
        </w:rPr>
        <w:t>ЗАТО Александровск, г. Снежного</w:t>
      </w:r>
      <w:r w:rsidR="00073633">
        <w:rPr>
          <w:rFonts w:eastAsia="Calibri"/>
          <w:lang w:eastAsia="ar-SA"/>
        </w:rPr>
        <w:t>рск, ул. Октябрьская, д.11</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BD08BF" w:rsidRPr="00BD08BF">
        <w:rPr>
          <w:rFonts w:eastAsia="Calibri"/>
          <w:lang w:eastAsia="ar-SA"/>
        </w:rPr>
        <w:t>1.632.128,</w:t>
      </w:r>
      <w:r w:rsidR="00A837C8">
        <w:rPr>
          <w:rFonts w:eastAsia="Calibri"/>
          <w:lang w:eastAsia="ar-SA"/>
        </w:rPr>
        <w:t>26</w:t>
      </w:r>
      <w:r w:rsidR="00BD08BF" w:rsidRPr="00BD08BF">
        <w:rPr>
          <w:rFonts w:eastAsia="Calibri"/>
          <w:lang w:eastAsia="ar-SA"/>
        </w:rPr>
        <w:t xml:space="preserve"> (Один миллион шестьсот тридцать две тысячи сто двадцать восемь) рублей </w:t>
      </w:r>
      <w:r w:rsidR="00A837C8">
        <w:rPr>
          <w:rFonts w:eastAsia="Calibri"/>
          <w:lang w:eastAsia="ar-SA"/>
        </w:rPr>
        <w:t>26</w:t>
      </w:r>
      <w:bookmarkStart w:id="5" w:name="_GoBack"/>
      <w:bookmarkEnd w:id="5"/>
      <w:r w:rsidR="00BD08BF" w:rsidRPr="00BD08BF">
        <w:rPr>
          <w:rFonts w:eastAsia="Calibri"/>
          <w:lang w:eastAsia="ar-SA"/>
        </w:rPr>
        <w:t xml:space="preserve">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w:t>
      </w:r>
      <w:r w:rsidR="00797742" w:rsidRPr="00797742">
        <w:rPr>
          <w:rFonts w:eastAsia="Calibri"/>
          <w:lang w:eastAsia="ar-SA"/>
        </w:rPr>
        <w:t>ЗАТО Александровск, г. Снежногорск, ул. Октябрьская, д.1</w:t>
      </w:r>
      <w:r w:rsidR="00073633">
        <w:rPr>
          <w:rFonts w:eastAsia="Calibri"/>
          <w:lang w:eastAsia="ar-SA"/>
        </w:rPr>
        <w:t>1</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797742">
        <w:rPr>
          <w:rFonts w:eastAsia="Calibri"/>
          <w:lang w:eastAsia="ar-SA"/>
        </w:rPr>
        <w:t>16</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073633">
        <w:rPr>
          <w:rFonts w:eastAsia="Calibri"/>
          <w:lang w:eastAsia="ar-SA"/>
        </w:rPr>
        <w:t>01</w:t>
      </w:r>
      <w:r w:rsidR="009D2EB6" w:rsidRPr="00150560">
        <w:rPr>
          <w:rFonts w:eastAsia="Calibri"/>
          <w:lang w:eastAsia="ar-SA"/>
        </w:rPr>
        <w:t xml:space="preserve"> </w:t>
      </w:r>
      <w:r w:rsidR="00073633">
        <w:rPr>
          <w:rFonts w:eastAsia="Calibri"/>
          <w:lang w:eastAsia="ar-SA"/>
        </w:rPr>
        <w:t>августа</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w:t>
      </w:r>
      <w:r w:rsidR="00977D70" w:rsidRPr="00977D70">
        <w:rPr>
          <w:sz w:val="28"/>
          <w:szCs w:val="28"/>
        </w:rPr>
        <w:t>ЗАТО Александровск, г. Сн</w:t>
      </w:r>
      <w:r w:rsidR="0034355E">
        <w:rPr>
          <w:sz w:val="28"/>
          <w:szCs w:val="28"/>
        </w:rPr>
        <w:t>ежногорск, ул. Октябрьская, д.11</w:t>
      </w:r>
    </w:p>
    <w:p w:rsidR="00977D70" w:rsidRDefault="00977D70" w:rsidP="00977D70">
      <w:pPr>
        <w:pStyle w:val="afffff4"/>
        <w:jc w:val="both"/>
        <w:rPr>
          <w:sz w:val="28"/>
          <w:szCs w:val="28"/>
        </w:rPr>
      </w:pPr>
      <w:r w:rsidRPr="00977D70">
        <w:rPr>
          <w:sz w:val="28"/>
          <w:szCs w:val="28"/>
        </w:rPr>
        <w:t>Количество этажей-9,</w:t>
      </w:r>
    </w:p>
    <w:p w:rsidR="00977D70" w:rsidRDefault="0034355E" w:rsidP="00977D70">
      <w:pPr>
        <w:pStyle w:val="afffff4"/>
        <w:jc w:val="both"/>
        <w:rPr>
          <w:sz w:val="28"/>
          <w:szCs w:val="28"/>
        </w:rPr>
      </w:pPr>
      <w:r>
        <w:rPr>
          <w:sz w:val="28"/>
          <w:szCs w:val="28"/>
        </w:rPr>
        <w:t>Количество подъездов -2</w:t>
      </w:r>
      <w:r w:rsidR="00977D70">
        <w:rPr>
          <w:sz w:val="28"/>
          <w:szCs w:val="28"/>
        </w:rPr>
        <w:t>,</w:t>
      </w:r>
    </w:p>
    <w:p w:rsidR="00977D70" w:rsidRDefault="00977D70" w:rsidP="00977D70">
      <w:pPr>
        <w:pStyle w:val="afffff4"/>
        <w:jc w:val="both"/>
        <w:rPr>
          <w:sz w:val="28"/>
          <w:szCs w:val="28"/>
        </w:rPr>
      </w:pPr>
      <w:r w:rsidRPr="00977D70">
        <w:rPr>
          <w:sz w:val="28"/>
          <w:szCs w:val="28"/>
        </w:rPr>
        <w:t>Год постройки - 198</w:t>
      </w:r>
      <w:r w:rsidR="0034355E">
        <w:rPr>
          <w:sz w:val="28"/>
          <w:szCs w:val="28"/>
        </w:rPr>
        <w:t>7</w:t>
      </w:r>
      <w:r w:rsidRPr="00977D70">
        <w:rPr>
          <w:sz w:val="28"/>
          <w:szCs w:val="28"/>
        </w:rPr>
        <w:t xml:space="preserve">, </w:t>
      </w:r>
    </w:p>
    <w:p w:rsidR="00977D70" w:rsidRDefault="00977D70" w:rsidP="00977D70">
      <w:pPr>
        <w:pStyle w:val="afffff4"/>
        <w:jc w:val="both"/>
        <w:rPr>
          <w:sz w:val="28"/>
          <w:szCs w:val="28"/>
        </w:rPr>
      </w:pPr>
      <w:r w:rsidRPr="00977D70">
        <w:rPr>
          <w:sz w:val="28"/>
          <w:szCs w:val="28"/>
        </w:rPr>
        <w:t xml:space="preserve">Период эксплуатации здания - </w:t>
      </w:r>
      <w:r w:rsidR="0034355E">
        <w:rPr>
          <w:sz w:val="28"/>
          <w:szCs w:val="28"/>
        </w:rPr>
        <w:t>29</w:t>
      </w:r>
      <w:r w:rsidRPr="00977D70">
        <w:rPr>
          <w:sz w:val="28"/>
          <w:szCs w:val="28"/>
        </w:rPr>
        <w:t xml:space="preserve"> лет, </w:t>
      </w:r>
    </w:p>
    <w:p w:rsidR="00977D70" w:rsidRDefault="00977D70" w:rsidP="00977D70">
      <w:pPr>
        <w:pStyle w:val="afffff4"/>
        <w:jc w:val="both"/>
        <w:rPr>
          <w:sz w:val="28"/>
          <w:szCs w:val="28"/>
        </w:rPr>
      </w:pPr>
      <w:r w:rsidRPr="00977D70">
        <w:rPr>
          <w:sz w:val="28"/>
          <w:szCs w:val="28"/>
        </w:rPr>
        <w:t xml:space="preserve">Материал стен - ж/б панель, </w:t>
      </w:r>
    </w:p>
    <w:p w:rsidR="00977D70" w:rsidRDefault="00977D70" w:rsidP="00977D70">
      <w:pPr>
        <w:pStyle w:val="afffff4"/>
        <w:jc w:val="both"/>
        <w:rPr>
          <w:sz w:val="28"/>
          <w:szCs w:val="28"/>
        </w:rPr>
      </w:pPr>
      <w:r w:rsidRPr="00977D70">
        <w:rPr>
          <w:sz w:val="28"/>
          <w:szCs w:val="28"/>
        </w:rPr>
        <w:t>Крыша плоская,</w:t>
      </w:r>
      <w:r>
        <w:rPr>
          <w:sz w:val="28"/>
          <w:szCs w:val="28"/>
        </w:rPr>
        <w:t xml:space="preserve"> </w:t>
      </w:r>
      <w:r w:rsidRPr="00977D70">
        <w:rPr>
          <w:sz w:val="28"/>
          <w:szCs w:val="28"/>
        </w:rPr>
        <w:t>бесчердачная,с организованным водостоком.</w:t>
      </w:r>
    </w:p>
    <w:p w:rsidR="00977D70" w:rsidRDefault="00977D70" w:rsidP="00977D70">
      <w:pPr>
        <w:pStyle w:val="afffff4"/>
        <w:jc w:val="both"/>
        <w:rPr>
          <w:sz w:val="28"/>
          <w:szCs w:val="28"/>
        </w:rPr>
      </w:pPr>
      <w:r w:rsidRPr="00977D70">
        <w:rPr>
          <w:sz w:val="28"/>
          <w:szCs w:val="28"/>
        </w:rPr>
        <w:t>Кровля рулонная.</w:t>
      </w:r>
      <w:r>
        <w:rPr>
          <w:sz w:val="28"/>
          <w:szCs w:val="28"/>
        </w:rPr>
        <w:t xml:space="preserve"> </w:t>
      </w:r>
    </w:p>
    <w:p w:rsidR="00977D70" w:rsidRDefault="00977D70" w:rsidP="00977D70">
      <w:pPr>
        <w:pStyle w:val="afffff4"/>
        <w:jc w:val="both"/>
        <w:rPr>
          <w:sz w:val="28"/>
          <w:szCs w:val="28"/>
        </w:rPr>
      </w:pPr>
      <w:r w:rsidRPr="00977D70">
        <w:rPr>
          <w:sz w:val="28"/>
          <w:szCs w:val="28"/>
        </w:rPr>
        <w:t>Площадь кровли -</w:t>
      </w:r>
      <w:r w:rsidR="0034355E">
        <w:rPr>
          <w:sz w:val="28"/>
          <w:szCs w:val="28"/>
        </w:rPr>
        <w:t>576</w:t>
      </w:r>
      <w:r w:rsidRPr="00977D70">
        <w:rPr>
          <w:sz w:val="28"/>
          <w:szCs w:val="28"/>
        </w:rPr>
        <w:t>м2.</w:t>
      </w:r>
    </w:p>
    <w:p w:rsidR="00AB4022" w:rsidRPr="00977D70" w:rsidRDefault="00977D70" w:rsidP="00977D70">
      <w:pPr>
        <w:pStyle w:val="afffff4"/>
        <w:jc w:val="both"/>
        <w:rPr>
          <w:sz w:val="28"/>
          <w:szCs w:val="28"/>
        </w:rPr>
      </w:pPr>
      <w:r w:rsidRPr="00977D70">
        <w:rPr>
          <w:sz w:val="28"/>
          <w:szCs w:val="28"/>
        </w:rPr>
        <w:t>Жилой дом обеспечен электроснабжением,</w:t>
      </w:r>
      <w:r>
        <w:rPr>
          <w:sz w:val="28"/>
          <w:szCs w:val="28"/>
        </w:rPr>
        <w:t xml:space="preserve"> водоснабжением</w:t>
      </w:r>
      <w:r w:rsidRPr="00977D70">
        <w:rPr>
          <w:sz w:val="28"/>
          <w:szCs w:val="28"/>
        </w:rPr>
        <w:t>,</w:t>
      </w:r>
      <w:r>
        <w:rPr>
          <w:sz w:val="28"/>
          <w:szCs w:val="28"/>
        </w:rPr>
        <w:t xml:space="preserve"> </w:t>
      </w:r>
      <w:r w:rsidRPr="00977D70">
        <w:rPr>
          <w:sz w:val="28"/>
          <w:szCs w:val="28"/>
        </w:rPr>
        <w:t>отоплением и подключен системе городской канализации.</w:t>
      </w:r>
      <w:r>
        <w:rPr>
          <w:sz w:val="28"/>
          <w:szCs w:val="28"/>
        </w:rPr>
        <w:t xml:space="preserve"> </w:t>
      </w:r>
      <w:r w:rsidR="00AB4022" w:rsidRPr="00EE3388">
        <w:rPr>
          <w:sz w:val="28"/>
          <w:szCs w:val="28"/>
        </w:rPr>
        <w:t xml:space="preserve">Общая площадь здания </w:t>
      </w:r>
      <w:r w:rsidR="0034355E">
        <w:rPr>
          <w:sz w:val="28"/>
          <w:szCs w:val="28"/>
        </w:rPr>
        <w:t>3879,7</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34355E">
        <w:rPr>
          <w:sz w:val="28"/>
          <w:szCs w:val="28"/>
        </w:rPr>
        <w:t>3298,3</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w:t>
      </w:r>
      <w:r w:rsidR="00977D70" w:rsidRPr="00977D70">
        <w:rPr>
          <w:rFonts w:eastAsia="Calibri"/>
          <w:lang w:eastAsia="ar-SA"/>
        </w:rPr>
        <w:t>ЗАТО Александровск, г. Снежногорск, ул. Октябрьская, д.1</w:t>
      </w:r>
      <w:r w:rsidR="0034355E">
        <w:rPr>
          <w:rFonts w:eastAsia="Calibri"/>
          <w:lang w:eastAsia="ar-SA"/>
        </w:rPr>
        <w:t>1</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 xml:space="preserve">7.4.4. Организацию и содержание за свой счет охраны объекта, материалов, оборудования и другого имущества; установку ограждения мест </w:t>
      </w:r>
      <w:r w:rsidRPr="00EE3388">
        <w:rPr>
          <w:sz w:val="28"/>
          <w:szCs w:val="28"/>
        </w:rPr>
        <w:lastRenderedPageBreak/>
        <w:t>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lastRenderedPageBreak/>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E05858" w:rsidRPr="00E05858">
        <w:rPr>
          <w:rFonts w:eastAsia="Calibri"/>
          <w:lang w:eastAsia="ar-SA"/>
        </w:rPr>
        <w:t>Минимальная продолжительность срока эксплуатации конструкций крыши и должна соответствовать ВСН 58-88</w:t>
      </w:r>
      <w:r w:rsidR="0087579F">
        <w:rPr>
          <w:rFonts w:eastAsia="Calibri"/>
          <w:lang w:eastAsia="ar-SA"/>
        </w:rPr>
        <w:t xml:space="preserve"> </w:t>
      </w:r>
      <w:r w:rsidR="00E05858" w:rsidRPr="00E05858">
        <w:rPr>
          <w:rFonts w:eastAsia="Calibri"/>
          <w:lang w:eastAsia="ar-SA"/>
        </w:rPr>
        <w:t>и составлять не менее десяти лет для рулонных кровельных покрытий</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977D70" w:rsidRPr="00977D70">
        <w:rPr>
          <w:rFonts w:eastAsia="Calibri"/>
          <w:b/>
          <w:lang w:eastAsia="ar-SA"/>
        </w:rPr>
        <w:t>ЗАТО Александровск, г. Сн</w:t>
      </w:r>
      <w:r w:rsidR="0034355E">
        <w:rPr>
          <w:rFonts w:eastAsia="Calibri"/>
          <w:b/>
          <w:lang w:eastAsia="ar-SA"/>
        </w:rPr>
        <w:t>ежногорск, ул. Октябрьская, д.11</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717" w:rsidRDefault="00C54717">
      <w:pPr>
        <w:spacing w:after="0" w:line="240" w:lineRule="auto"/>
      </w:pPr>
      <w:r>
        <w:separator/>
      </w:r>
    </w:p>
  </w:endnote>
  <w:endnote w:type="continuationSeparator" w:id="0">
    <w:p w:rsidR="00C54717" w:rsidRDefault="00C5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717" w:rsidRDefault="00C5471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54717" w:rsidRPr="00F320A5" w:rsidRDefault="00C54717" w:rsidP="00E00564">
    <w:pPr>
      <w:pStyle w:val="af2"/>
      <w:ind w:right="360" w:firstLine="360"/>
      <w:jc w:val="center"/>
      <w:rPr>
        <w:sz w:val="18"/>
        <w:szCs w:val="18"/>
      </w:rPr>
    </w:pPr>
  </w:p>
  <w:p w:rsidR="00C54717" w:rsidRDefault="00C5471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717" w:rsidRPr="00037B1D" w:rsidRDefault="00C54717"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717" w:rsidRDefault="00C5471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54717" w:rsidRDefault="00C54717"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717" w:rsidRDefault="00C54717" w:rsidP="00E00564">
    <w:pPr>
      <w:pStyle w:val="af2"/>
      <w:framePr w:wrap="around" w:vAnchor="text" w:hAnchor="margin" w:xAlign="right" w:y="1"/>
      <w:rPr>
        <w:rStyle w:val="af1"/>
      </w:rPr>
    </w:pPr>
  </w:p>
  <w:p w:rsidR="00C54717" w:rsidRDefault="00C5471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717" w:rsidRDefault="00C54717">
      <w:pPr>
        <w:spacing w:after="0" w:line="240" w:lineRule="auto"/>
      </w:pPr>
      <w:r>
        <w:separator/>
      </w:r>
    </w:p>
  </w:footnote>
  <w:footnote w:type="continuationSeparator" w:id="0">
    <w:p w:rsidR="00C54717" w:rsidRDefault="00C54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717" w:rsidRPr="000B39A5" w:rsidRDefault="00C54717">
    <w:pPr>
      <w:pStyle w:val="af"/>
      <w:jc w:val="center"/>
      <w:rPr>
        <w:sz w:val="18"/>
        <w:szCs w:val="18"/>
      </w:rPr>
    </w:pPr>
  </w:p>
  <w:p w:rsidR="00C54717" w:rsidRDefault="00C5471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3633"/>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4355E"/>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4C46"/>
    <w:rsid w:val="00433477"/>
    <w:rsid w:val="0044085A"/>
    <w:rsid w:val="00443111"/>
    <w:rsid w:val="004441B2"/>
    <w:rsid w:val="00450932"/>
    <w:rsid w:val="004577E3"/>
    <w:rsid w:val="00460C09"/>
    <w:rsid w:val="00464F5C"/>
    <w:rsid w:val="004719AE"/>
    <w:rsid w:val="00484A45"/>
    <w:rsid w:val="00490B39"/>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97742"/>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A1825"/>
    <w:rsid w:val="008A19BF"/>
    <w:rsid w:val="008A6951"/>
    <w:rsid w:val="008B4090"/>
    <w:rsid w:val="008C11D6"/>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77D70"/>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40494"/>
    <w:rsid w:val="00A41A06"/>
    <w:rsid w:val="00A424C6"/>
    <w:rsid w:val="00A5500B"/>
    <w:rsid w:val="00A6389E"/>
    <w:rsid w:val="00A72093"/>
    <w:rsid w:val="00A837C8"/>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BD08BF"/>
    <w:rsid w:val="00C139DC"/>
    <w:rsid w:val="00C175D6"/>
    <w:rsid w:val="00C323D3"/>
    <w:rsid w:val="00C54717"/>
    <w:rsid w:val="00C57070"/>
    <w:rsid w:val="00C60B2B"/>
    <w:rsid w:val="00C6750E"/>
    <w:rsid w:val="00C71A33"/>
    <w:rsid w:val="00C725AD"/>
    <w:rsid w:val="00C83977"/>
    <w:rsid w:val="00C841AD"/>
    <w:rsid w:val="00C845F5"/>
    <w:rsid w:val="00C94798"/>
    <w:rsid w:val="00CA1FDE"/>
    <w:rsid w:val="00CA54E5"/>
    <w:rsid w:val="00CB2F8D"/>
    <w:rsid w:val="00CB79CF"/>
    <w:rsid w:val="00CD306B"/>
    <w:rsid w:val="00CE7069"/>
    <w:rsid w:val="00D03380"/>
    <w:rsid w:val="00D15DDA"/>
    <w:rsid w:val="00D25339"/>
    <w:rsid w:val="00D26C65"/>
    <w:rsid w:val="00D4183A"/>
    <w:rsid w:val="00D4392E"/>
    <w:rsid w:val="00D45451"/>
    <w:rsid w:val="00D531D0"/>
    <w:rsid w:val="00D63AE3"/>
    <w:rsid w:val="00D66431"/>
    <w:rsid w:val="00D66587"/>
    <w:rsid w:val="00D80A2C"/>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EF33D2"/>
    <w:rsid w:val="00F130AF"/>
    <w:rsid w:val="00F3100A"/>
    <w:rsid w:val="00F339A5"/>
    <w:rsid w:val="00F33F42"/>
    <w:rsid w:val="00F341F9"/>
    <w:rsid w:val="00F66BD6"/>
    <w:rsid w:val="00F75A51"/>
    <w:rsid w:val="00F95514"/>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888CA-B837-4130-8EE1-5A0E4B0D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38</Pages>
  <Words>10341</Words>
  <Characters>58945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70</cp:revision>
  <cp:lastPrinted>2015-07-13T11:38:00Z</cp:lastPrinted>
  <dcterms:created xsi:type="dcterms:W3CDTF">2015-02-19T07:02:00Z</dcterms:created>
  <dcterms:modified xsi:type="dcterms:W3CDTF">2016-03-03T12:23:00Z</dcterms:modified>
</cp:coreProperties>
</file>