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CA2640">
        <w:rPr>
          <w:rFonts w:eastAsia="Calibri"/>
          <w:b/>
          <w:bCs/>
          <w:kern w:val="32"/>
          <w:lang w:eastAsia="ru-RU"/>
        </w:rPr>
        <w:t>ПР. ЛЕНИНА, Д. 13</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A2640">
        <w:t>пр. Ленина, д. 13</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CA2640">
        <w:rPr>
          <w:rFonts w:eastAsia="Calibri"/>
          <w:lang w:eastAsia="ar-SA"/>
        </w:rPr>
        <w:t>990 510,09</w:t>
      </w:r>
      <w:r w:rsidR="001E5EC8">
        <w:rPr>
          <w:rFonts w:eastAsia="Calibri"/>
          <w:lang w:eastAsia="ar-SA"/>
        </w:rPr>
        <w:t xml:space="preserve"> ру</w:t>
      </w:r>
      <w:r w:rsidR="00CA2640">
        <w:rPr>
          <w:rFonts w:eastAsia="Calibri"/>
          <w:lang w:eastAsia="ar-SA"/>
        </w:rPr>
        <w:t>б. (девятьсот девяносто тысяч пятьсот десять рублей 09 копеек</w:t>
      </w:r>
      <w:r w:rsidR="00E9211E">
        <w:rPr>
          <w:rFonts w:eastAsia="Calibri"/>
          <w:lang w:eastAsia="ar-SA"/>
        </w:rPr>
        <w:t>)</w:t>
      </w:r>
      <w:r w:rsidR="007E7373" w:rsidRPr="006E51C0">
        <w:rPr>
          <w:rFonts w:eastAsia="Calibri"/>
          <w:lang w:eastAsia="ar-SA"/>
        </w:rPr>
        <w:t>, в том числе:</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CA2640">
        <w:rPr>
          <w:rFonts w:eastAsia="Calibri"/>
          <w:lang w:eastAsia="ar-SA"/>
        </w:rPr>
        <w:t>990 510,09 руб. (девятьсот девяносто тысяч пятьсот десять рублей 09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06B02" w:rsidRPr="00106B02">
        <w:rPr>
          <w:rFonts w:eastAsia="Calibri"/>
          <w:lang w:eastAsia="ar-SA"/>
        </w:rPr>
        <w:t>18</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3471D9" w:rsidRPr="00106B02">
        <w:rPr>
          <w:rFonts w:eastAsia="Calibri"/>
          <w:lang w:eastAsia="ar-SA"/>
        </w:rPr>
        <w:t>21</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F21A84" w:rsidRPr="006E51C0" w:rsidRDefault="00F21A84"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C17B05"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13</w:t>
      </w:r>
      <w:r w:rsidR="00D945D9" w:rsidRPr="006E51C0">
        <w:rPr>
          <w:b/>
        </w:rPr>
        <w:t>»</w:t>
      </w:r>
      <w:r w:rsidR="008335D1" w:rsidRPr="006E51C0">
        <w:rPr>
          <w:b/>
        </w:rPr>
        <w:t>.</w:t>
      </w:r>
      <w:r w:rsidR="00F21A84">
        <w:rPr>
          <w:rFonts w:eastAsia="Calibri"/>
          <w:b/>
          <w:lang w:eastAsia="ar-SA"/>
        </w:rPr>
        <w:t xml:space="preserve"> </w:t>
      </w:r>
      <w:r w:rsidR="00FB6995">
        <w:rPr>
          <w:b/>
        </w:rPr>
        <w:t>Не вскрывать до 22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B6995" w:rsidRPr="00207913">
        <w:rPr>
          <w:rFonts w:eastAsia="Calibri"/>
          <w:color w:val="000000"/>
          <w:lang w:eastAsia="ar-SA"/>
        </w:rPr>
        <w:t>22</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CE27FD">
        <w:rPr>
          <w:rFonts w:eastAsia="Calibri"/>
          <w:lang w:eastAsia="ar-SA"/>
        </w:rPr>
        <w:t>пр. Ленина, д. 13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DC0497" w:rsidP="00FA67C6">
      <w:pPr>
        <w:suppressAutoHyphens/>
        <w:spacing w:after="0" w:line="240" w:lineRule="auto"/>
        <w:jc w:val="both"/>
        <w:rPr>
          <w:rFonts w:eastAsia="Calibri"/>
          <w:b/>
          <w:lang w:eastAsia="ar-SA"/>
        </w:rPr>
      </w:pPr>
      <w:r>
        <w:rPr>
          <w:b/>
        </w:rPr>
        <w:t>пр. Ленина, д. 13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A3E54" w:rsidP="00FF6439">
      <w:pPr>
        <w:suppressAutoHyphens/>
        <w:spacing w:after="0" w:line="240" w:lineRule="auto"/>
        <w:jc w:val="both"/>
        <w:rPr>
          <w:rFonts w:eastAsia="Calibri"/>
          <w:lang w:eastAsia="ar-SA"/>
        </w:rPr>
      </w:pPr>
      <w:r>
        <w:t>пр. Ленина, д. 13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8D3F16">
        <w:t>пр. Ленина, д. 13</w:t>
      </w:r>
      <w:r w:rsidR="00273EDE" w:rsidRPr="006E51C0">
        <w:t>»</w:t>
      </w:r>
      <w:r w:rsidR="003C512F" w:rsidRPr="006E51C0">
        <w:t>,</w:t>
      </w:r>
      <w:r w:rsidR="002F71D4" w:rsidRPr="006E51C0">
        <w:t xml:space="preserve"> </w:t>
      </w:r>
      <w:r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 д. 13.</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 xml:space="preserve">Основанием для заключения настоящего Договора является- постановление Правительства Мурманской области от 27.06.2014 № 325 - </w:t>
      </w:r>
      <w:r w:rsidRPr="004E0F76">
        <w:rPr>
          <w:rFonts w:eastAsia="Times New Roman"/>
          <w:lang w:eastAsia="ru-RU"/>
        </w:rPr>
        <w:lastRenderedPageBreak/>
        <w:t>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w:t>
      </w:r>
      <w:r w:rsidRPr="0089492A">
        <w:rPr>
          <w:bCs/>
        </w:rPr>
        <w:lastRenderedPageBreak/>
        <w:t>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EE54AE">
        <w:rPr>
          <w:b/>
        </w:rPr>
        <w:t>рманск, пр. Ленина, д. 13</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E54AE">
              <w:rPr>
                <w:sz w:val="24"/>
                <w:szCs w:val="24"/>
              </w:rPr>
              <w:t>пр. Ленина, д. 13</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371313">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E54AE">
              <w:rPr>
                <w:rFonts w:eastAsia="Calibri"/>
                <w:sz w:val="24"/>
                <w:szCs w:val="24"/>
                <w:lang w:eastAsia="ar-SA"/>
              </w:rPr>
              <w:t>60</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E54AE">
              <w:rPr>
                <w:rFonts w:eastAsia="Calibri"/>
                <w:sz w:val="24"/>
                <w:szCs w:val="24"/>
                <w:lang w:eastAsia="ar-SA"/>
              </w:rPr>
              <w:t>56 лет</w:t>
            </w:r>
            <w:r w:rsidR="00AC07EB">
              <w:rPr>
                <w:rFonts w:eastAsia="Calibri"/>
                <w:sz w:val="24"/>
                <w:szCs w:val="24"/>
                <w:lang w:eastAsia="ar-SA"/>
              </w:rPr>
              <w:t>.</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r w:rsidR="00EE54AE">
              <w:rPr>
                <w:rFonts w:eastAsia="Courier New"/>
                <w:bCs/>
                <w:color w:val="000000"/>
                <w:sz w:val="24"/>
                <w:szCs w:val="24"/>
                <w:shd w:val="clear" w:color="auto" w:fill="FFFFFF"/>
                <w:lang w:eastAsia="ru-RU"/>
              </w:rPr>
              <w:t>.</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AF2F1B">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AF2F1B">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w:t>
            </w:r>
            <w:r w:rsidRPr="006E51C0">
              <w:rPr>
                <w:rFonts w:eastAsia="Calibri"/>
                <w:sz w:val="24"/>
                <w:szCs w:val="24"/>
                <w:lang w:eastAsia="ar-SA"/>
              </w:rPr>
              <w:lastRenderedPageBreak/>
              <w:t>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Pr="006E51C0" w:rsidRDefault="006C3496"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1B7FD9">
        <w:rPr>
          <w:rFonts w:eastAsia="Calibri"/>
          <w:b/>
          <w:lang w:eastAsia="ar-SA"/>
        </w:rPr>
        <w:t>пр. Ленина, д. 13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w:t>
      </w:r>
      <w:proofErr w:type="gramStart"/>
      <w:r w:rsidR="005C3083">
        <w:rPr>
          <w:rFonts w:eastAsia="Calibri"/>
          <w:b/>
          <w:lang w:eastAsia="ar-SA"/>
        </w:rPr>
        <w:t>_  _</w:t>
      </w:r>
      <w:proofErr w:type="gramEnd"/>
      <w:r w:rsidR="005C3083">
        <w:rPr>
          <w:rFonts w:eastAsia="Calibri"/>
          <w:b/>
          <w:lang w:eastAsia="ar-SA"/>
        </w:rPr>
        <w:t>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D5D" w:rsidRDefault="00436D5D">
      <w:pPr>
        <w:spacing w:after="0" w:line="240" w:lineRule="auto"/>
      </w:pPr>
      <w:r>
        <w:separator/>
      </w:r>
    </w:p>
  </w:endnote>
  <w:endnote w:type="continuationSeparator" w:id="0">
    <w:p w:rsidR="00436D5D" w:rsidRDefault="0043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04BA" w:rsidRPr="00F320A5" w:rsidRDefault="001A04BA" w:rsidP="00E00564">
    <w:pPr>
      <w:pStyle w:val="af2"/>
      <w:ind w:right="360" w:firstLine="360"/>
      <w:jc w:val="center"/>
      <w:rPr>
        <w:sz w:val="18"/>
        <w:szCs w:val="18"/>
      </w:rPr>
    </w:pPr>
  </w:p>
  <w:p w:rsidR="001A04BA" w:rsidRDefault="001A04B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04BA" w:rsidRDefault="001A04B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p>
  <w:p w:rsidR="001A04BA" w:rsidRDefault="001A04B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D5D" w:rsidRDefault="00436D5D">
      <w:pPr>
        <w:spacing w:after="0" w:line="240" w:lineRule="auto"/>
      </w:pPr>
      <w:r>
        <w:separator/>
      </w:r>
    </w:p>
  </w:footnote>
  <w:footnote w:type="continuationSeparator" w:id="0">
    <w:p w:rsidR="00436D5D" w:rsidRDefault="00436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Pr="000B39A5" w:rsidRDefault="001A04BA">
    <w:pPr>
      <w:pStyle w:val="af"/>
      <w:jc w:val="center"/>
      <w:rPr>
        <w:sz w:val="18"/>
        <w:szCs w:val="18"/>
      </w:rPr>
    </w:pPr>
  </w:p>
  <w:p w:rsidR="001A04BA" w:rsidRDefault="001A04B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Pr="000B39A5" w:rsidRDefault="001A04BA">
    <w:pPr>
      <w:pStyle w:val="af"/>
      <w:jc w:val="center"/>
      <w:rPr>
        <w:sz w:val="18"/>
        <w:szCs w:val="18"/>
      </w:rPr>
    </w:pPr>
  </w:p>
  <w:p w:rsidR="001A04BA" w:rsidRDefault="001A04B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273C"/>
    <w:rsid w:val="003B7395"/>
    <w:rsid w:val="003C0BC2"/>
    <w:rsid w:val="003C512F"/>
    <w:rsid w:val="003E0EBD"/>
    <w:rsid w:val="003E14D7"/>
    <w:rsid w:val="003E51CD"/>
    <w:rsid w:val="003F065C"/>
    <w:rsid w:val="003F0963"/>
    <w:rsid w:val="00400D84"/>
    <w:rsid w:val="0040638A"/>
    <w:rsid w:val="00412634"/>
    <w:rsid w:val="00414020"/>
    <w:rsid w:val="00415DE4"/>
    <w:rsid w:val="004279A5"/>
    <w:rsid w:val="00436D5D"/>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4E76C4"/>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34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67FED"/>
    <w:rsid w:val="00972AA7"/>
    <w:rsid w:val="00973746"/>
    <w:rsid w:val="009756A5"/>
    <w:rsid w:val="00976AF7"/>
    <w:rsid w:val="009824A2"/>
    <w:rsid w:val="00984A73"/>
    <w:rsid w:val="00984AF8"/>
    <w:rsid w:val="00987BC4"/>
    <w:rsid w:val="00990246"/>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2F1B"/>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3155"/>
    <w:rsid w:val="00C234FC"/>
    <w:rsid w:val="00C26586"/>
    <w:rsid w:val="00C301BD"/>
    <w:rsid w:val="00C34870"/>
    <w:rsid w:val="00C34B61"/>
    <w:rsid w:val="00C35395"/>
    <w:rsid w:val="00C375C7"/>
    <w:rsid w:val="00C4180D"/>
    <w:rsid w:val="00C42C3E"/>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119FA"/>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894E-D3F2-473A-98AB-C599E37A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11338</Words>
  <Characters>64632</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2016-02-17T10:30:00Z</cp:lastPrinted>
  <dcterms:created xsi:type="dcterms:W3CDTF">2016-02-17T11:10:00Z</dcterms:created>
  <dcterms:modified xsi:type="dcterms:W3CDTF">2016-02-17T11:10:00Z</dcterms:modified>
</cp:coreProperties>
</file>