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D5A7F" w:rsidP="0017465E">
            <w:pPr>
              <w:suppressAutoHyphens/>
              <w:spacing w:after="0" w:line="240" w:lineRule="auto"/>
              <w:rPr>
                <w:rFonts w:eastAsia="Calibri"/>
                <w:sz w:val="24"/>
                <w:szCs w:val="24"/>
                <w:lang w:eastAsia="ar-SA"/>
              </w:rPr>
            </w:pPr>
            <w:r>
              <w:rPr>
                <w:rFonts w:eastAsia="Calibri"/>
                <w:sz w:val="24"/>
                <w:szCs w:val="24"/>
                <w:lang w:eastAsia="ar-SA"/>
              </w:rPr>
              <w:t>«04</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2F00D3">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2F00D3">
        <w:rPr>
          <w:rFonts w:eastAsia="Calibri"/>
          <w:b/>
          <w:lang w:eastAsia="ar-SA"/>
        </w:rPr>
        <w:t>КРЫШИ И</w:t>
      </w:r>
      <w:r w:rsidR="00931891">
        <w:rPr>
          <w:rFonts w:eastAsia="Calibri"/>
          <w:b/>
          <w:lang w:eastAsia="ar-SA"/>
        </w:rPr>
        <w:t xml:space="preserve"> 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00D3">
        <w:rPr>
          <w:rFonts w:eastAsia="Calibri"/>
          <w:b/>
          <w:lang w:eastAsia="ar-SA"/>
        </w:rPr>
        <w:t xml:space="preserve">г. </w:t>
      </w:r>
      <w:proofErr w:type="gramStart"/>
      <w:r w:rsidR="002F00D3">
        <w:rPr>
          <w:rFonts w:eastAsia="Calibri"/>
          <w:b/>
          <w:lang w:eastAsia="ar-SA"/>
        </w:rPr>
        <w:t>КИРОВСК</w:t>
      </w:r>
      <w:r w:rsidR="00BB500F">
        <w:rPr>
          <w:rFonts w:eastAsia="Calibri"/>
          <w:b/>
          <w:lang w:eastAsia="ar-SA"/>
        </w:rPr>
        <w:t>,</w:t>
      </w:r>
      <w:r w:rsidR="0002188C">
        <w:rPr>
          <w:rFonts w:eastAsia="Calibri"/>
          <w:b/>
          <w:lang w:eastAsia="ar-SA"/>
        </w:rPr>
        <w:t xml:space="preserve">   </w:t>
      </w:r>
      <w:proofErr w:type="gramEnd"/>
      <w:r w:rsidR="0002188C">
        <w:rPr>
          <w:rFonts w:eastAsia="Calibri"/>
          <w:b/>
          <w:lang w:eastAsia="ar-SA"/>
        </w:rPr>
        <w:t xml:space="preserve">                                      </w:t>
      </w:r>
      <w:r w:rsidR="00BB500F">
        <w:rPr>
          <w:rFonts w:eastAsia="Calibri"/>
          <w:b/>
          <w:lang w:eastAsia="ar-SA"/>
        </w:rPr>
        <w:t xml:space="preserve"> </w:t>
      </w:r>
      <w:r w:rsidR="008D7E5C">
        <w:rPr>
          <w:rFonts w:eastAsia="Calibri"/>
          <w:b/>
          <w:lang w:eastAsia="ar-SA"/>
        </w:rPr>
        <w:t>пр. ЛЕНИНА</w:t>
      </w:r>
      <w:r w:rsidR="00BB500F">
        <w:rPr>
          <w:rFonts w:eastAsia="Calibri"/>
          <w:b/>
          <w:lang w:eastAsia="ar-SA"/>
        </w:rPr>
        <w:t xml:space="preserve"> д.</w:t>
      </w:r>
      <w:r w:rsidR="009F0B2F">
        <w:rPr>
          <w:rFonts w:eastAsia="Calibri"/>
          <w:b/>
          <w:lang w:eastAsia="ar-SA"/>
        </w:rPr>
        <w:t xml:space="preserve"> </w:t>
      </w:r>
      <w:r w:rsidR="008D7E5C">
        <w:rPr>
          <w:rFonts w:eastAsia="Calibri"/>
          <w:b/>
          <w:lang w:eastAsia="ar-SA"/>
        </w:rPr>
        <w:t>9</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лоту: «Капитальный ремонт крыши и фасада многоквартирного дома, расположенного по адресу: Мурманская об</w:t>
      </w:r>
      <w:r w:rsidR="008D7E5C">
        <w:rPr>
          <w:rFonts w:eastAsia="Calibri"/>
          <w:lang w:eastAsia="ar-SA"/>
        </w:rPr>
        <w:t>л. г. Кировск, пр. Ленина д. 9</w:t>
      </w:r>
      <w:r w:rsidRPr="006C77E4">
        <w:t>».</w:t>
      </w:r>
    </w:p>
    <w:p w:rsidR="008D7E5C" w:rsidRPr="008D7E5C" w:rsidRDefault="006C77E4" w:rsidP="008D7E5C">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 </w:t>
      </w:r>
      <w:r w:rsidR="008D7E5C" w:rsidRPr="008D7E5C">
        <w:rPr>
          <w:rFonts w:eastAsia="Calibri"/>
          <w:lang w:eastAsia="ar-SA"/>
        </w:rPr>
        <w:t>4 444 978 (четыре миллиона четыреста сорок четыре тысячи девятьсот семьдесят восемь) рублей.</w:t>
      </w:r>
    </w:p>
    <w:p w:rsidR="008D7E5C" w:rsidRPr="008D7E5C" w:rsidRDefault="008D7E5C" w:rsidP="008D7E5C">
      <w:pPr>
        <w:suppressAutoHyphens/>
        <w:spacing w:after="0" w:line="240" w:lineRule="auto"/>
        <w:jc w:val="both"/>
        <w:rPr>
          <w:rFonts w:eastAsia="Calibri"/>
          <w:lang w:eastAsia="ar-SA"/>
        </w:rPr>
      </w:pPr>
      <w:r w:rsidRPr="008D7E5C">
        <w:rPr>
          <w:rFonts w:eastAsia="Calibri"/>
          <w:lang w:eastAsia="ar-SA"/>
        </w:rPr>
        <w:t>- капитальный ремонт крыши – 2 862 248 (два миллиона восемьсот шестьдесят две тысячи двести сорок восемь) рублей.</w:t>
      </w:r>
    </w:p>
    <w:p w:rsidR="008D7E5C" w:rsidRPr="008D7E5C" w:rsidRDefault="008D7E5C" w:rsidP="008D7E5C">
      <w:pPr>
        <w:spacing w:after="0" w:line="240" w:lineRule="auto"/>
        <w:jc w:val="both"/>
        <w:rPr>
          <w:rFonts w:eastAsia="Calibri"/>
          <w:lang w:eastAsia="ar-SA"/>
        </w:rPr>
      </w:pPr>
      <w:r w:rsidRPr="008D7E5C">
        <w:rPr>
          <w:rFonts w:eastAsia="Calibri"/>
          <w:lang w:eastAsia="ar-SA"/>
        </w:rPr>
        <w:t>- капитальный ремонт фасада – 1 582 730 (один миллион пятьсот восемьдесят две тысячи семьсот тридцать) рублей.</w:t>
      </w:r>
    </w:p>
    <w:p w:rsidR="006C77E4" w:rsidRPr="006C77E4" w:rsidRDefault="006C77E4" w:rsidP="008D7E5C">
      <w:pPr>
        <w:suppressAutoHyphens/>
        <w:spacing w:after="0" w:line="240" w:lineRule="auto"/>
        <w:ind w:firstLine="708"/>
        <w:jc w:val="both"/>
        <w:rPr>
          <w:rFonts w:eastAsia="Calibri"/>
          <w:b/>
          <w:bCs/>
          <w:lang w:eastAsia="ar-SA"/>
        </w:rPr>
      </w:pPr>
      <w:r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lastRenderedPageBreak/>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proofErr w:type="spellStart"/>
      <w:r w:rsidRPr="006C77E4">
        <w:rPr>
          <w:rFonts w:eastAsia="Calibri"/>
          <w:lang w:val="en-US" w:eastAsia="ar-SA"/>
        </w:rPr>
        <w:t>zm</w:t>
      </w:r>
      <w:proofErr w:type="spellEnd"/>
      <w:r w:rsidRPr="006C77E4">
        <w:rPr>
          <w:rFonts w:eastAsia="Calibri"/>
          <w:lang w:eastAsia="ar-SA"/>
        </w:rPr>
        <w:t>@</w:t>
      </w:r>
      <w:proofErr w:type="spellStart"/>
      <w:r w:rsidRPr="006C77E4">
        <w:rPr>
          <w:rFonts w:eastAsia="Calibri"/>
          <w:lang w:val="en-US" w:eastAsia="ar-SA"/>
        </w:rPr>
        <w:t>fkrmo</w:t>
      </w:r>
      <w:proofErr w:type="spellEnd"/>
      <w:r w:rsidRPr="006C77E4">
        <w:rPr>
          <w:rFonts w:eastAsia="Calibri"/>
          <w:lang w:eastAsia="ar-SA"/>
        </w:rPr>
        <w:t>.</w:t>
      </w:r>
      <w:proofErr w:type="spellStart"/>
      <w:r w:rsidRPr="006C77E4">
        <w:rPr>
          <w:rFonts w:eastAsia="Calibri"/>
          <w:lang w:val="en-US" w:eastAsia="ar-SA"/>
        </w:rPr>
        <w:t>ru</w:t>
      </w:r>
      <w:proofErr w:type="spellEnd"/>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 xml:space="preserve">6.1.4. Договоры подряда и акты о приемке выполненных работ </w:t>
      </w:r>
      <w:r w:rsidRPr="006C77E4">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lastRenderedPageBreak/>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Дата начала подачи заявок: 04.05.2016 г.;</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Дата окончания подачи заявок: 03.06.2016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лоту: «Капитальный ремонт крыши и фасада многоквартирного дома, расположенного по адресу: Мурманская област</w:t>
      </w:r>
      <w:r w:rsidR="008D7E5C">
        <w:rPr>
          <w:rFonts w:eastAsia="Calibri"/>
          <w:b/>
          <w:lang w:eastAsia="ar-SA"/>
        </w:rPr>
        <w:t>ь, г. Кировск, пр. Ленина д.9</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 xml:space="preserve">10.1. Комиссионный отбор подрядной организации проводиться по адресу: Мурманская область, г. Кировск, пр. Ленина, д.16, </w:t>
      </w:r>
      <w:proofErr w:type="spellStart"/>
      <w:r w:rsidRPr="006C77E4">
        <w:rPr>
          <w:rFonts w:eastAsia="Calibri"/>
          <w:lang w:eastAsia="ar-SA"/>
        </w:rPr>
        <w:t>каб</w:t>
      </w:r>
      <w:proofErr w:type="spellEnd"/>
      <w:r w:rsidRPr="006C77E4">
        <w:rPr>
          <w:rFonts w:eastAsia="Calibri"/>
          <w:lang w:eastAsia="ar-SA"/>
        </w:rPr>
        <w:t xml:space="preserve">. </w:t>
      </w:r>
      <w:proofErr w:type="gramStart"/>
      <w:r w:rsidRPr="006C77E4">
        <w:rPr>
          <w:rFonts w:eastAsia="Calibri"/>
          <w:lang w:eastAsia="ar-SA"/>
        </w:rPr>
        <w:t>66  (</w:t>
      </w:r>
      <w:proofErr w:type="gramEnd"/>
      <w:r w:rsidRPr="006C77E4">
        <w:rPr>
          <w:rFonts w:eastAsia="Calibri"/>
          <w:lang w:eastAsia="ar-SA"/>
        </w:rPr>
        <w:t>здание администрации города Кировск).</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проведения комиссионного отбора – 06.06.2016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C77E4">
        <w:rPr>
          <w:rFonts w:eastAsia="Times New Roman"/>
          <w:lang w:eastAsia="ru-RU"/>
        </w:rPr>
        <w:t>энерго</w:t>
      </w:r>
      <w:proofErr w:type="spellEnd"/>
      <w:r w:rsidRPr="006C77E4">
        <w:rPr>
          <w:rFonts w:eastAsia="Times New Roman"/>
          <w:lang w:eastAsia="ru-RU"/>
        </w:rPr>
        <w:t>-ресурсосберегающих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DA593B">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DA593B">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DA593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DA593B">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DA593B">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DA593B">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DA593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DA593B">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DA593B">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DA593B">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DA593B">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DA593B">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DA593B">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DA593B">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DA593B">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DA593B">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DA593B">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DA593B">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DA593B">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DA593B">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 крыши и фасада многоквартирного дома, расположенного по адресу Мурманская област</w:t>
      </w:r>
      <w:r w:rsidR="008D7E5C">
        <w:rPr>
          <w:rFonts w:eastAsia="Calibri"/>
          <w:lang w:eastAsia="ar-SA"/>
        </w:rPr>
        <w:t>ь, г. Кировск, пр. Ленина д. 9</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lastRenderedPageBreak/>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НА УЧАСТИЕ В КОМИССИОННОМ ОТБОРЕ ПОДРЯДНОЙ ОРГАНИЗАЦИИ</w:t>
      </w:r>
    </w:p>
    <w:p w:rsidR="006C77E4" w:rsidRPr="006C77E4" w:rsidRDefault="006C77E4" w:rsidP="006C77E4">
      <w:pPr>
        <w:suppressAutoHyphens/>
        <w:spacing w:after="0" w:line="240" w:lineRule="auto"/>
        <w:jc w:val="both"/>
        <w:rPr>
          <w:rFonts w:eastAsia="Times New Roman"/>
          <w:b/>
          <w:color w:val="000000"/>
          <w:lang w:eastAsia="ru-RU"/>
        </w:rPr>
      </w:pPr>
      <w:r w:rsidRPr="006C77E4">
        <w:rPr>
          <w:rFonts w:eastAsia="Times New Roman"/>
          <w:b/>
          <w:color w:val="000000"/>
          <w:lang w:eastAsia="ru-RU"/>
        </w:rPr>
        <w:t>на выполнение работ по лоту: «Капитальный ремонт крыши и фасада многоквартирного дома, расположенного по адресу: Мурманская област</w:t>
      </w:r>
      <w:r w:rsidR="00821683">
        <w:rPr>
          <w:rFonts w:eastAsia="Times New Roman"/>
          <w:b/>
          <w:color w:val="000000"/>
          <w:lang w:eastAsia="ru-RU"/>
        </w:rPr>
        <w:t>ь</w:t>
      </w:r>
      <w:r w:rsidR="008D7E5C">
        <w:rPr>
          <w:rFonts w:eastAsia="Times New Roman"/>
          <w:b/>
          <w:color w:val="000000"/>
          <w:lang w:eastAsia="ru-RU"/>
        </w:rPr>
        <w:t>, г. Кировск, пр. Ленина д. 9</w:t>
      </w:r>
      <w:r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DA593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xml:space="preserve">, утвержденному приказом </w:t>
      </w:r>
      <w:proofErr w:type="spellStart"/>
      <w:r w:rsidRPr="006C77E4">
        <w:rPr>
          <w:rFonts w:eastAsia="Calibri"/>
          <w:lang w:eastAsia="ar-SA"/>
        </w:rPr>
        <w:t>Минрегиона</w:t>
      </w:r>
      <w:proofErr w:type="spellEnd"/>
      <w:r w:rsidRPr="006C77E4">
        <w:rPr>
          <w:rFonts w:eastAsia="Calibri"/>
          <w:lang w:eastAsia="ar-SA"/>
        </w:rPr>
        <w:t xml:space="preserve">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DA593B">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DA593B">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DA593B">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DA593B">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DA593B">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DA593B">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DA593B">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DA593B">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DA593B">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DA593B">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DA593B">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Pr="006C77E4">
        <w:rPr>
          <w:rFonts w:eastAsia="Calibri"/>
          <w:b/>
          <w:lang w:eastAsia="ar-SA"/>
        </w:rPr>
        <w:t>«Капитальный ремонт крыши и фасада многоквартирного дома, расположенного по адресу: Мурманская облас</w:t>
      </w:r>
      <w:r w:rsidR="00821683">
        <w:rPr>
          <w:rFonts w:eastAsia="Calibri"/>
          <w:b/>
          <w:lang w:eastAsia="ar-SA"/>
        </w:rPr>
        <w:t>т</w:t>
      </w:r>
      <w:r w:rsidR="008D7E5C">
        <w:rPr>
          <w:rFonts w:eastAsia="Calibri"/>
          <w:b/>
          <w:lang w:eastAsia="ar-SA"/>
        </w:rPr>
        <w:t>ь, г. Кировск, пр. Ленина д.9</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подтверждает, что для участия в комиссионном отборе подрядной организации на выполнение работ по лоту: Капитальный ремонт крыши и фасада многоквартирного дома, расположенного по адресу Мурманская област</w:t>
      </w:r>
      <w:r w:rsidR="00821683">
        <w:rPr>
          <w:rFonts w:eastAsia="Calibri"/>
          <w:lang w:eastAsia="ar-SA"/>
        </w:rPr>
        <w:t>ь</w:t>
      </w:r>
      <w:r w:rsidR="008D7E5C">
        <w:rPr>
          <w:rFonts w:eastAsia="Calibri"/>
          <w:lang w:eastAsia="ar-SA"/>
        </w:rPr>
        <w:t>, г. Кировск, пр. Ленина д. 9</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DA593B">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lastRenderedPageBreak/>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DA593B">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DA593B">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DA593B">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DA593B">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DA593B">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DA593B">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DA593B">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DA593B">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DA593B">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DA593B">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DA593B">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DA593B">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DA593B">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lastRenderedPageBreak/>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 xml:space="preserve">г. Мурманск                                                                 </w:t>
      </w:r>
      <w:proofErr w:type="gramStart"/>
      <w:r w:rsidRPr="006C77E4">
        <w:rPr>
          <w:rFonts w:eastAsia="Times New Roman"/>
          <w:lang w:eastAsia="ru-RU"/>
        </w:rPr>
        <w:t xml:space="preserve">   «</w:t>
      </w:r>
      <w:proofErr w:type="gramEnd"/>
      <w:r w:rsidRPr="006C77E4">
        <w:rPr>
          <w:rFonts w:eastAsia="Times New Roman"/>
          <w:lang w:eastAsia="ru-RU"/>
        </w:rPr>
        <w:t>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lastRenderedPageBreak/>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C77E4">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DA593B">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Pr="006C77E4">
        <w:rPr>
          <w:rFonts w:eastAsia="Calibri"/>
          <w:b/>
          <w:lang w:eastAsia="ar-SA"/>
        </w:rPr>
        <w:t>: «Капитальный ремонт крыши и фасада многоквартирного дома, расположенного по адресу Мурманская област</w:t>
      </w:r>
      <w:r w:rsidR="008D7E5C">
        <w:rPr>
          <w:rFonts w:eastAsia="Calibri"/>
          <w:b/>
          <w:lang w:eastAsia="ar-SA"/>
        </w:rPr>
        <w:t>ь, г. Кировск, пр. Ленина д.9</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CE7D54">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92216C">
              <w:rPr>
                <w:sz w:val="24"/>
                <w:szCs w:val="24"/>
              </w:rPr>
              <w:t>ь, г. Кировск, пр. Ленина</w:t>
            </w:r>
            <w:r w:rsidR="008D7E5C">
              <w:rPr>
                <w:sz w:val="24"/>
                <w:szCs w:val="24"/>
              </w:rPr>
              <w:t xml:space="preserve"> д.9</w:t>
            </w: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6C77E4">
            <w:pPr>
              <w:ind w:left="33"/>
              <w:rPr>
                <w:sz w:val="24"/>
                <w:szCs w:val="24"/>
              </w:rPr>
            </w:pPr>
            <w:r w:rsidRPr="006C77E4">
              <w:rPr>
                <w:sz w:val="24"/>
                <w:szCs w:val="24"/>
              </w:rPr>
              <w:t>Краткие сведения об объекте и его техническом состоянии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этажей -</w:t>
            </w:r>
            <w:r w:rsidR="00434847">
              <w:rPr>
                <w:rFonts w:eastAsia="Calibri"/>
                <w:sz w:val="24"/>
                <w:szCs w:val="24"/>
                <w:lang w:eastAsia="ar-SA"/>
              </w:rPr>
              <w:t>5</w:t>
            </w:r>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434847">
              <w:rPr>
                <w:rFonts w:eastAsia="Calibri"/>
                <w:sz w:val="24"/>
                <w:szCs w:val="24"/>
                <w:lang w:eastAsia="ar-SA"/>
              </w:rPr>
              <w:t>2</w:t>
            </w:r>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434847">
              <w:rPr>
                <w:rFonts w:eastAsia="Calibri"/>
                <w:sz w:val="24"/>
                <w:szCs w:val="24"/>
                <w:lang w:eastAsia="ar-SA"/>
              </w:rPr>
              <w:t>1952</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Серия - индивидуальная;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Крыша – </w:t>
            </w:r>
            <w:r w:rsidR="00434847">
              <w:rPr>
                <w:rFonts w:eastAsia="Calibri"/>
                <w:sz w:val="24"/>
                <w:szCs w:val="24"/>
                <w:lang w:eastAsia="ar-SA"/>
              </w:rPr>
              <w:t>скатная</w:t>
            </w:r>
            <w:bookmarkStart w:id="0" w:name="_GoBack"/>
            <w:bookmarkEnd w:id="0"/>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Материал несущих стен -  каменные, кирпичные;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Тип фасада – оштукатуренный;</w:t>
            </w:r>
          </w:p>
          <w:p w:rsidR="006C77E4" w:rsidRPr="006C77E4" w:rsidRDefault="006C77E4" w:rsidP="006C77E4">
            <w:pPr>
              <w:spacing w:after="0" w:line="240" w:lineRule="auto"/>
              <w:jc w:val="both"/>
              <w:rPr>
                <w:rFonts w:eastAsia="Calibri"/>
                <w:sz w:val="24"/>
                <w:szCs w:val="24"/>
                <w:lang w:eastAsia="ar-SA"/>
              </w:rPr>
            </w:pPr>
          </w:p>
        </w:tc>
      </w:tr>
      <w:tr w:rsidR="006C77E4" w:rsidRPr="006C77E4" w:rsidTr="00CE7D54">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CE7D54">
        <w:trPr>
          <w:trHeight w:val="952"/>
        </w:trPr>
        <w:tc>
          <w:tcPr>
            <w:tcW w:w="622" w:type="dxa"/>
            <w:shd w:val="clear" w:color="auto" w:fill="auto"/>
          </w:tcPr>
          <w:p w:rsidR="006C77E4" w:rsidRPr="006C77E4" w:rsidRDefault="00CE7D54"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порядок выполнения комплекса работ по капитальному ремонту крыши и фасада.</w:t>
            </w:r>
          </w:p>
          <w:p w:rsidR="006C77E4" w:rsidRPr="006C77E4" w:rsidRDefault="006C77E4" w:rsidP="006C77E4">
            <w:pPr>
              <w:suppressAutoHyphens/>
              <w:spacing w:after="0" w:line="240" w:lineRule="auto"/>
              <w:jc w:val="both"/>
              <w:rPr>
                <w:sz w:val="24"/>
                <w:szCs w:val="24"/>
              </w:rPr>
            </w:pPr>
            <w:r w:rsidRPr="006C77E4">
              <w:rPr>
                <w:spacing w:val="-2"/>
                <w:sz w:val="24"/>
                <w:szCs w:val="24"/>
              </w:rPr>
              <w:t xml:space="preserve"> выполненным на основании </w:t>
            </w:r>
            <w:r w:rsidRPr="006C77E4">
              <w:rPr>
                <w:bCs/>
                <w:spacing w:val="-2"/>
                <w:sz w:val="24"/>
                <w:szCs w:val="24"/>
              </w:rPr>
              <w:t>технического обследования, с подготовкой проектно-сметной документации, согласованной с Заказчиком</w:t>
            </w:r>
            <w:r w:rsidRPr="006C77E4">
              <w:rPr>
                <w:spacing w:val="-2"/>
                <w:sz w:val="24"/>
                <w:szCs w:val="24"/>
              </w:rPr>
              <w:t>.</w:t>
            </w:r>
          </w:p>
        </w:tc>
      </w:tr>
      <w:tr w:rsidR="006C77E4" w:rsidRPr="006C77E4" w:rsidTr="00CE7D54">
        <w:tc>
          <w:tcPr>
            <w:tcW w:w="622" w:type="dxa"/>
            <w:shd w:val="clear" w:color="auto" w:fill="auto"/>
          </w:tcPr>
          <w:p w:rsidR="006C77E4" w:rsidRPr="006C77E4" w:rsidRDefault="00CE7D54" w:rsidP="006C77E4">
            <w:pPr>
              <w:jc w:val="center"/>
              <w:rPr>
                <w:sz w:val="24"/>
                <w:szCs w:val="24"/>
              </w:rPr>
            </w:pPr>
            <w:r>
              <w:rPr>
                <w:sz w:val="24"/>
                <w:szCs w:val="24"/>
              </w:rPr>
              <w:t>11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технического обследования крыши и фасада.</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Pr="006C77E4">
              <w:rPr>
                <w:rFonts w:eastAsia="Calibri"/>
                <w:sz w:val="24"/>
                <w:szCs w:val="24"/>
                <w:lang w:eastAsia="ar-SA"/>
              </w:rPr>
              <w:t>схему крыши в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Изготовление сметной документации на капитальный ремонт крыши и фасада и утверждение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 по капитальному ремонту крыши и фасада утвержденные Заказчиком.</w:t>
            </w:r>
          </w:p>
        </w:tc>
      </w:tr>
      <w:tr w:rsidR="006C77E4" w:rsidRPr="006C77E4" w:rsidTr="00CE7D54">
        <w:trPr>
          <w:trHeight w:val="247"/>
        </w:trPr>
        <w:tc>
          <w:tcPr>
            <w:tcW w:w="622" w:type="dxa"/>
            <w:shd w:val="clear" w:color="auto" w:fill="auto"/>
          </w:tcPr>
          <w:p w:rsidR="006C77E4" w:rsidRPr="006C77E4" w:rsidRDefault="00CE7D54"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CE7D54">
        <w:tc>
          <w:tcPr>
            <w:tcW w:w="622" w:type="dxa"/>
            <w:shd w:val="clear" w:color="auto" w:fill="auto"/>
          </w:tcPr>
          <w:p w:rsidR="006C77E4" w:rsidRPr="006C77E4" w:rsidRDefault="00CE7D54"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Схема 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6C77E4">
              <w:rPr>
                <w:rFonts w:eastAsia="Calibri"/>
                <w:sz w:val="24"/>
                <w:szCs w:val="24"/>
                <w:lang w:eastAsia="ar-SA"/>
              </w:rPr>
              <w:t>редак</w:t>
            </w:r>
            <w:proofErr w:type="spellEnd"/>
            <w:r w:rsidRPr="006C77E4">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CE7D54">
        <w:tc>
          <w:tcPr>
            <w:tcW w:w="622" w:type="dxa"/>
            <w:shd w:val="clear" w:color="auto" w:fill="auto"/>
          </w:tcPr>
          <w:p w:rsidR="006C77E4" w:rsidRPr="006C77E4" w:rsidRDefault="00CE7D54" w:rsidP="006C77E4">
            <w:pPr>
              <w:jc w:val="center"/>
              <w:rPr>
                <w:sz w:val="24"/>
                <w:szCs w:val="24"/>
              </w:rPr>
            </w:pPr>
            <w:r>
              <w:rPr>
                <w:sz w:val="24"/>
                <w:szCs w:val="24"/>
              </w:rPr>
              <w:lastRenderedPageBreak/>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 крыши и фасада;</w:t>
            </w:r>
          </w:p>
          <w:p w:rsidR="006C77E4" w:rsidRPr="006C77E4" w:rsidRDefault="006C77E4" w:rsidP="006C77E4">
            <w:pPr>
              <w:spacing w:after="0" w:line="240" w:lineRule="auto"/>
              <w:jc w:val="both"/>
              <w:rPr>
                <w:rFonts w:eastAsia="Calibri"/>
                <w:sz w:val="24"/>
                <w:szCs w:val="24"/>
                <w:lang w:eastAsia="ar-SA"/>
              </w:rPr>
            </w:pPr>
            <w:proofErr w:type="gramStart"/>
            <w:r w:rsidRPr="006C77E4">
              <w:rPr>
                <w:rFonts w:eastAsia="Calibri"/>
                <w:sz w:val="24"/>
                <w:szCs w:val="24"/>
                <w:lang w:eastAsia="ar-SA"/>
              </w:rPr>
              <w:t>-</w:t>
            </w:r>
            <w:r w:rsidRPr="006C77E4">
              <w:rPr>
                <w:rFonts w:eastAsia="Calibri"/>
                <w:color w:val="FFFFFF" w:themeColor="background1"/>
                <w:sz w:val="24"/>
                <w:szCs w:val="24"/>
                <w:lang w:eastAsia="ar-SA"/>
              </w:rPr>
              <w:t>.</w:t>
            </w:r>
            <w:r w:rsidRPr="006C77E4">
              <w:rPr>
                <w:rFonts w:eastAsia="Calibri"/>
                <w:sz w:val="24"/>
                <w:szCs w:val="24"/>
                <w:lang w:eastAsia="ar-SA"/>
              </w:rPr>
              <w:t>материалы</w:t>
            </w:r>
            <w:proofErr w:type="gramEnd"/>
            <w:r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CE7D54">
        <w:tc>
          <w:tcPr>
            <w:tcW w:w="622" w:type="dxa"/>
            <w:shd w:val="clear" w:color="auto" w:fill="auto"/>
          </w:tcPr>
          <w:p w:rsidR="006C77E4" w:rsidRPr="006C77E4" w:rsidRDefault="00CE7D54" w:rsidP="006C77E4">
            <w:pPr>
              <w:jc w:val="center"/>
              <w:rPr>
                <w:sz w:val="24"/>
                <w:szCs w:val="24"/>
              </w:rPr>
            </w:pPr>
            <w:r>
              <w:rPr>
                <w:sz w:val="24"/>
                <w:szCs w:val="24"/>
              </w:rPr>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w:t>
            </w:r>
            <w:proofErr w:type="spellStart"/>
            <w:r w:rsidRPr="006C77E4">
              <w:rPr>
                <w:rFonts w:eastAsia="Calibri"/>
                <w:sz w:val="24"/>
                <w:szCs w:val="24"/>
                <w:lang w:eastAsia="ar-SA"/>
              </w:rPr>
              <w:t>doc</w:t>
            </w:r>
            <w:proofErr w:type="spellEnd"/>
            <w:r w:rsidRPr="006C77E4">
              <w:rPr>
                <w:rFonts w:eastAsia="Calibri"/>
                <w:sz w:val="24"/>
                <w:szCs w:val="24"/>
                <w:lang w:eastAsia="ar-SA"/>
              </w:rPr>
              <w:t>, *.</w:t>
            </w:r>
            <w:proofErr w:type="spellStart"/>
            <w:r w:rsidRPr="006C77E4">
              <w:rPr>
                <w:rFonts w:eastAsia="Calibri"/>
                <w:sz w:val="24"/>
                <w:szCs w:val="24"/>
                <w:lang w:eastAsia="ar-SA"/>
              </w:rPr>
              <w:t>xls</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w:t>
            </w:r>
            <w:proofErr w:type="spellStart"/>
            <w:r w:rsidRPr="006C77E4">
              <w:rPr>
                <w:rFonts w:eastAsia="Calibri"/>
                <w:sz w:val="24"/>
                <w:szCs w:val="24"/>
                <w:lang w:eastAsia="ar-SA"/>
              </w:rPr>
              <w:t>dwg</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w:t>
            </w:r>
            <w:proofErr w:type="spellStart"/>
            <w:r w:rsidRPr="006C77E4">
              <w:rPr>
                <w:rFonts w:eastAsia="Calibri"/>
                <w:sz w:val="24"/>
                <w:szCs w:val="24"/>
                <w:lang w:eastAsia="ar-SA"/>
              </w:rPr>
              <w:t>pdf</w:t>
            </w:r>
            <w:proofErr w:type="spellEnd"/>
            <w:r w:rsidRPr="006C77E4">
              <w:rPr>
                <w:rFonts w:eastAsia="Calibri"/>
                <w:sz w:val="24"/>
                <w:szCs w:val="24"/>
                <w:lang w:eastAsia="ar-SA"/>
              </w:rPr>
              <w:t>, *.</w:t>
            </w:r>
            <w:proofErr w:type="spellStart"/>
            <w:r w:rsidRPr="006C77E4">
              <w:rPr>
                <w:rFonts w:eastAsia="Calibri"/>
                <w:sz w:val="24"/>
                <w:szCs w:val="24"/>
                <w:lang w:eastAsia="ar-SA"/>
              </w:rPr>
              <w:t>gif</w:t>
            </w:r>
            <w:proofErr w:type="spellEnd"/>
            <w:r w:rsidRPr="006C77E4">
              <w:rPr>
                <w:rFonts w:eastAsia="Calibri"/>
                <w:sz w:val="24"/>
                <w:szCs w:val="24"/>
                <w:lang w:eastAsia="ar-SA"/>
              </w:rPr>
              <w:t>, *.</w:t>
            </w:r>
            <w:proofErr w:type="spellStart"/>
            <w:r w:rsidRPr="006C77E4">
              <w:rPr>
                <w:rFonts w:eastAsia="Calibri"/>
                <w:sz w:val="24"/>
                <w:szCs w:val="24"/>
                <w:lang w:eastAsia="ar-SA"/>
              </w:rPr>
              <w:t>jpeg</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C77E4">
              <w:rPr>
                <w:rFonts w:eastAsia="Calibri"/>
                <w:sz w:val="24"/>
                <w:szCs w:val="24"/>
                <w:lang w:eastAsia="ar-SA"/>
              </w:rPr>
              <w:t>xls</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xlsx</w:t>
            </w:r>
            <w:proofErr w:type="spellEnd"/>
            <w:r w:rsidRPr="006C77E4">
              <w:rPr>
                <w:rFonts w:eastAsia="Calibri"/>
                <w:sz w:val="24"/>
                <w:szCs w:val="24"/>
                <w:lang w:eastAsia="ar-SA"/>
              </w:rPr>
              <w:t>) или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С подписями и печатями продублирован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ведомости объемов работ должны быть представлены в формате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и продублированы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tc>
      </w:tr>
      <w:tr w:rsidR="006C77E4" w:rsidRPr="006C77E4" w:rsidTr="00CE7D54">
        <w:tc>
          <w:tcPr>
            <w:tcW w:w="622" w:type="dxa"/>
            <w:shd w:val="clear" w:color="auto" w:fill="auto"/>
          </w:tcPr>
          <w:p w:rsidR="006C77E4" w:rsidRPr="006C77E4" w:rsidRDefault="00CE7D54"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CE7D54">
        <w:trPr>
          <w:trHeight w:val="2266"/>
        </w:trPr>
        <w:tc>
          <w:tcPr>
            <w:tcW w:w="622" w:type="dxa"/>
            <w:shd w:val="clear" w:color="auto" w:fill="auto"/>
          </w:tcPr>
          <w:p w:rsidR="006C77E4" w:rsidRPr="006C77E4" w:rsidRDefault="00CE7D54"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лоту: «Капитальный ремонт крыши и фасада многоквартирного дома, расположенного по адресу: Мурманская обл., г. Кировск,</w:t>
      </w:r>
      <w:r w:rsidR="008D7E5C">
        <w:rPr>
          <w:rFonts w:eastAsia="Calibri"/>
          <w:b/>
          <w:lang w:eastAsia="ar-SA"/>
        </w:rPr>
        <w:t xml:space="preserve"> пр. Ленина д.9</w:t>
      </w:r>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DA593B">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DA593B">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DA593B">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DA593B">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DA593B">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9E8" w:rsidRDefault="001A09E8">
      <w:pPr>
        <w:spacing w:after="0" w:line="240" w:lineRule="auto"/>
      </w:pPr>
      <w:r>
        <w:separator/>
      </w:r>
    </w:p>
  </w:endnote>
  <w:endnote w:type="continuationSeparator" w:id="0">
    <w:p w:rsidR="001A09E8" w:rsidRDefault="001A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E2" w:rsidRDefault="00D330E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330E2" w:rsidRPr="00F320A5" w:rsidRDefault="00D330E2" w:rsidP="00E00564">
    <w:pPr>
      <w:pStyle w:val="af2"/>
      <w:ind w:right="360" w:firstLine="360"/>
      <w:jc w:val="center"/>
      <w:rPr>
        <w:sz w:val="18"/>
        <w:szCs w:val="18"/>
      </w:rPr>
    </w:pPr>
  </w:p>
  <w:p w:rsidR="00D330E2" w:rsidRDefault="00D330E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4" w:rsidRDefault="006C77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C77E4" w:rsidRDefault="006C77E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4" w:rsidRDefault="006C77E4" w:rsidP="00E00564">
    <w:pPr>
      <w:pStyle w:val="af2"/>
      <w:framePr w:wrap="around" w:vAnchor="text" w:hAnchor="margin" w:xAlign="right" w:y="1"/>
      <w:rPr>
        <w:rStyle w:val="af1"/>
      </w:rPr>
    </w:pPr>
  </w:p>
  <w:p w:rsidR="006C77E4" w:rsidRDefault="006C77E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9E8" w:rsidRDefault="001A09E8">
      <w:pPr>
        <w:spacing w:after="0" w:line="240" w:lineRule="auto"/>
      </w:pPr>
      <w:r>
        <w:separator/>
      </w:r>
    </w:p>
  </w:footnote>
  <w:footnote w:type="continuationSeparator" w:id="0">
    <w:p w:rsidR="001A09E8" w:rsidRDefault="001A0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E2" w:rsidRPr="000B39A5" w:rsidRDefault="00D330E2">
    <w:pPr>
      <w:pStyle w:val="af"/>
      <w:jc w:val="center"/>
      <w:rPr>
        <w:sz w:val="18"/>
        <w:szCs w:val="18"/>
      </w:rPr>
    </w:pPr>
  </w:p>
  <w:p w:rsidR="00D330E2" w:rsidRDefault="00D330E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E2" w:rsidRPr="000B39A5" w:rsidRDefault="00D330E2">
    <w:pPr>
      <w:pStyle w:val="af"/>
      <w:jc w:val="center"/>
      <w:rPr>
        <w:sz w:val="18"/>
        <w:szCs w:val="18"/>
      </w:rPr>
    </w:pPr>
  </w:p>
  <w:p w:rsidR="00D330E2" w:rsidRDefault="00D330E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1623"/>
    <w:rsid w:val="0002188C"/>
    <w:rsid w:val="00022629"/>
    <w:rsid w:val="00036851"/>
    <w:rsid w:val="00040D23"/>
    <w:rsid w:val="000462DA"/>
    <w:rsid w:val="00047602"/>
    <w:rsid w:val="00053EB6"/>
    <w:rsid w:val="00057603"/>
    <w:rsid w:val="00057988"/>
    <w:rsid w:val="00062375"/>
    <w:rsid w:val="00063051"/>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09E8"/>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A99"/>
    <w:rsid w:val="00296C21"/>
    <w:rsid w:val="00297E41"/>
    <w:rsid w:val="002B1C35"/>
    <w:rsid w:val="002B489E"/>
    <w:rsid w:val="002B48DC"/>
    <w:rsid w:val="002B6099"/>
    <w:rsid w:val="002B6F06"/>
    <w:rsid w:val="002C13E3"/>
    <w:rsid w:val="002C3D4C"/>
    <w:rsid w:val="002D36C8"/>
    <w:rsid w:val="002D6DFC"/>
    <w:rsid w:val="002E05EB"/>
    <w:rsid w:val="002E0CA4"/>
    <w:rsid w:val="002E14EE"/>
    <w:rsid w:val="002E454A"/>
    <w:rsid w:val="002E490E"/>
    <w:rsid w:val="002E6A2E"/>
    <w:rsid w:val="002E78F1"/>
    <w:rsid w:val="002F00D3"/>
    <w:rsid w:val="002F0FD9"/>
    <w:rsid w:val="002F114B"/>
    <w:rsid w:val="003070E0"/>
    <w:rsid w:val="00310C2A"/>
    <w:rsid w:val="0031513C"/>
    <w:rsid w:val="003221EB"/>
    <w:rsid w:val="00324DED"/>
    <w:rsid w:val="00330FFA"/>
    <w:rsid w:val="0033340E"/>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0FE6"/>
    <w:rsid w:val="003B2808"/>
    <w:rsid w:val="003B2FAA"/>
    <w:rsid w:val="003C3844"/>
    <w:rsid w:val="003C481C"/>
    <w:rsid w:val="003E0EBD"/>
    <w:rsid w:val="003F065C"/>
    <w:rsid w:val="003F1281"/>
    <w:rsid w:val="003F7692"/>
    <w:rsid w:val="00401D74"/>
    <w:rsid w:val="00405F97"/>
    <w:rsid w:val="004066CC"/>
    <w:rsid w:val="00407346"/>
    <w:rsid w:val="004210A6"/>
    <w:rsid w:val="00427920"/>
    <w:rsid w:val="004279A5"/>
    <w:rsid w:val="00427A26"/>
    <w:rsid w:val="00434847"/>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44793"/>
    <w:rsid w:val="00552F19"/>
    <w:rsid w:val="0055669B"/>
    <w:rsid w:val="005573F5"/>
    <w:rsid w:val="00557ED8"/>
    <w:rsid w:val="005639B1"/>
    <w:rsid w:val="005652A1"/>
    <w:rsid w:val="00565709"/>
    <w:rsid w:val="00573A36"/>
    <w:rsid w:val="00575295"/>
    <w:rsid w:val="00576051"/>
    <w:rsid w:val="0058782A"/>
    <w:rsid w:val="0059042D"/>
    <w:rsid w:val="00592F32"/>
    <w:rsid w:val="005941D0"/>
    <w:rsid w:val="0059481C"/>
    <w:rsid w:val="005974EC"/>
    <w:rsid w:val="005A131D"/>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F288D"/>
    <w:rsid w:val="006F3DC5"/>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D7E5C"/>
    <w:rsid w:val="008E077D"/>
    <w:rsid w:val="008E6AFF"/>
    <w:rsid w:val="008F2655"/>
    <w:rsid w:val="008F36C4"/>
    <w:rsid w:val="008F3DD6"/>
    <w:rsid w:val="008F4EA1"/>
    <w:rsid w:val="00901D4D"/>
    <w:rsid w:val="00903835"/>
    <w:rsid w:val="0090705D"/>
    <w:rsid w:val="00911E47"/>
    <w:rsid w:val="009131EF"/>
    <w:rsid w:val="00915393"/>
    <w:rsid w:val="00916426"/>
    <w:rsid w:val="0092216C"/>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755F0"/>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E7D54"/>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2481"/>
    <w:rsid w:val="00EC39CA"/>
    <w:rsid w:val="00EC7CBA"/>
    <w:rsid w:val="00ED18F4"/>
    <w:rsid w:val="00ED5A7F"/>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22A8"/>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1A41-D3AE-45D3-A944-E236AB5A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10016</Words>
  <Characters>57096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10</cp:revision>
  <cp:lastPrinted>2016-05-02T13:34:00Z</cp:lastPrinted>
  <dcterms:created xsi:type="dcterms:W3CDTF">2016-05-04T19:39:00Z</dcterms:created>
  <dcterms:modified xsi:type="dcterms:W3CDTF">2016-05-09T19:27:00Z</dcterms:modified>
</cp:coreProperties>
</file>